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E4874" w14:textId="77777777" w:rsidR="003D2C26" w:rsidRDefault="003D2C26" w:rsidP="003D2C26">
      <w:pPr>
        <w:spacing w:after="240" w:line="240" w:lineRule="auto"/>
        <w:ind w:firstLine="0"/>
        <w:contextualSpacing/>
        <w:jc w:val="center"/>
        <w:outlineLvl w:val="9"/>
        <w:rPr>
          <w:b/>
          <w:caps/>
        </w:rPr>
      </w:pPr>
      <w:r w:rsidRPr="00C1345C">
        <w:rPr>
          <w:b/>
          <w:caps/>
        </w:rPr>
        <w:t>PUC DOCKET NO. 54614</w:t>
      </w:r>
    </w:p>
    <w:p w14:paraId="354CBAE5" w14:textId="77777777" w:rsidR="00C1345C" w:rsidRPr="00C1345C" w:rsidRDefault="00C1345C" w:rsidP="00C1345C">
      <w:pPr>
        <w:spacing w:after="240" w:line="240" w:lineRule="auto"/>
        <w:ind w:firstLine="0"/>
        <w:contextualSpacing/>
        <w:jc w:val="center"/>
        <w:outlineLvl w:val="9"/>
        <w:rPr>
          <w:b/>
          <w:caps/>
        </w:rPr>
      </w:pPr>
      <w:r w:rsidRPr="00C1345C">
        <w:rPr>
          <w:b/>
          <w:caps/>
        </w:rPr>
        <w:t>SOAH DOCKET NO. 473-24-04312</w:t>
      </w:r>
    </w:p>
    <w:p w14:paraId="40B158DF" w14:textId="77777777" w:rsidR="00C1345C" w:rsidRPr="00C1345C" w:rsidRDefault="00C1345C" w:rsidP="00C1345C">
      <w:pPr>
        <w:spacing w:after="240" w:line="240" w:lineRule="auto"/>
        <w:ind w:firstLine="0"/>
        <w:contextualSpacing/>
        <w:jc w:val="center"/>
        <w:outlineLvl w:val="9"/>
        <w:rPr>
          <w:b/>
          <w:bCs/>
          <w:caps/>
          <w:color w:val="000000"/>
        </w:rPr>
      </w:pPr>
    </w:p>
    <w:tbl>
      <w:tblPr>
        <w:tblW w:w="0" w:type="auto"/>
        <w:tblLook w:val="01E0" w:firstRow="1" w:lastRow="1" w:firstColumn="1" w:lastColumn="1" w:noHBand="0" w:noVBand="0"/>
        <w:tblCaption w:val="Case Caption"/>
      </w:tblPr>
      <w:tblGrid>
        <w:gridCol w:w="4590"/>
        <w:gridCol w:w="450"/>
        <w:gridCol w:w="4320"/>
      </w:tblGrid>
      <w:tr w:rsidR="00C1345C" w:rsidRPr="00C1345C" w14:paraId="709794DC" w14:textId="77777777" w:rsidTr="004753EB">
        <w:trPr>
          <w:trHeight w:val="837"/>
        </w:trPr>
        <w:tc>
          <w:tcPr>
            <w:tcW w:w="4590" w:type="dxa"/>
          </w:tcPr>
          <w:p w14:paraId="411422B7" w14:textId="77777777" w:rsidR="00C1345C" w:rsidRPr="00C1345C" w:rsidRDefault="002333C6" w:rsidP="00C1345C">
            <w:pPr>
              <w:keepNext w:val="0"/>
              <w:tabs>
                <w:tab w:val="left" w:pos="3375"/>
              </w:tabs>
              <w:spacing w:after="0" w:line="240" w:lineRule="auto"/>
              <w:ind w:firstLine="0"/>
              <w:jc w:val="left"/>
              <w:outlineLvl w:val="9"/>
              <w:rPr>
                <w:b/>
                <w:szCs w:val="20"/>
              </w:rPr>
            </w:pPr>
            <w:sdt>
              <w:sdtPr>
                <w:rPr>
                  <w:b/>
                  <w:caps/>
                  <w:szCs w:val="20"/>
                </w:rPr>
                <w:alias w:val="Case Style"/>
                <w:tag w:val="CS"/>
                <w:id w:val="2103065775"/>
                <w:placeholder>
                  <w:docPart w:val="C2C64F916332426391CC826D58BAAF2D"/>
                </w:placeholder>
                <w15:appearance w15:val="hidden"/>
              </w:sdtPr>
              <w:sdtEndPr/>
              <w:sdtContent>
                <w:r w:rsidR="00C1345C" w:rsidRPr="00C1345C">
                  <w:rPr>
                    <w:b/>
                    <w:caps/>
                    <w:szCs w:val="20"/>
                  </w:rPr>
                  <w:t>STATEMENT OF INTENT AND APPLICATION OF EL PASO ELECTRIC COMPANY FOR APPROVAL OF TEXAS ELECTRIC VEHICLE-READY PILOT PROGRAMS AND TARIFFS</w:t>
                </w:r>
              </w:sdtContent>
            </w:sdt>
            <w:r w:rsidR="00C1345C" w:rsidRPr="00C1345C">
              <w:rPr>
                <w:b/>
                <w:caps/>
                <w:szCs w:val="20"/>
              </w:rPr>
              <w:t xml:space="preserve"> </w:t>
            </w:r>
          </w:p>
        </w:tc>
        <w:tc>
          <w:tcPr>
            <w:tcW w:w="450" w:type="dxa"/>
            <w:noWrap/>
          </w:tcPr>
          <w:p w14:paraId="3C849EF9" w14:textId="77777777" w:rsidR="00C1345C" w:rsidRPr="00C1345C" w:rsidRDefault="00C1345C" w:rsidP="00C1345C">
            <w:pPr>
              <w:keepNext w:val="0"/>
              <w:spacing w:after="0" w:line="240" w:lineRule="auto"/>
              <w:ind w:firstLine="0"/>
              <w:outlineLvl w:val="9"/>
              <w:rPr>
                <w:b/>
                <w:szCs w:val="20"/>
              </w:rPr>
            </w:pPr>
            <w:r w:rsidRPr="00C1345C">
              <w:rPr>
                <w:b/>
                <w:szCs w:val="20"/>
              </w:rPr>
              <w:t>§</w:t>
            </w:r>
          </w:p>
          <w:p w14:paraId="46D37DCA" w14:textId="77777777" w:rsidR="00C1345C" w:rsidRPr="00C1345C" w:rsidRDefault="00C1345C" w:rsidP="00C1345C">
            <w:pPr>
              <w:keepNext w:val="0"/>
              <w:spacing w:after="0" w:line="240" w:lineRule="auto"/>
              <w:ind w:firstLine="0"/>
              <w:outlineLvl w:val="9"/>
              <w:rPr>
                <w:b/>
                <w:szCs w:val="20"/>
              </w:rPr>
            </w:pPr>
            <w:r w:rsidRPr="00C1345C">
              <w:rPr>
                <w:b/>
                <w:szCs w:val="20"/>
              </w:rPr>
              <w:t>§</w:t>
            </w:r>
          </w:p>
          <w:p w14:paraId="3A8D853A" w14:textId="77777777" w:rsidR="00C1345C" w:rsidRPr="00C1345C" w:rsidRDefault="00C1345C" w:rsidP="00C1345C">
            <w:pPr>
              <w:keepNext w:val="0"/>
              <w:spacing w:after="0" w:line="240" w:lineRule="auto"/>
              <w:ind w:firstLine="0"/>
              <w:outlineLvl w:val="9"/>
              <w:rPr>
                <w:b/>
                <w:szCs w:val="20"/>
              </w:rPr>
            </w:pPr>
            <w:r w:rsidRPr="00C1345C">
              <w:rPr>
                <w:b/>
                <w:szCs w:val="20"/>
              </w:rPr>
              <w:t>§</w:t>
            </w:r>
          </w:p>
          <w:p w14:paraId="623CC98D" w14:textId="77777777" w:rsidR="00C1345C" w:rsidRPr="00C1345C" w:rsidRDefault="00C1345C" w:rsidP="00C1345C">
            <w:pPr>
              <w:keepNext w:val="0"/>
              <w:spacing w:after="0" w:line="240" w:lineRule="auto"/>
              <w:ind w:firstLine="0"/>
              <w:outlineLvl w:val="9"/>
              <w:rPr>
                <w:b/>
                <w:szCs w:val="20"/>
              </w:rPr>
            </w:pPr>
            <w:r w:rsidRPr="00C1345C">
              <w:rPr>
                <w:b/>
                <w:szCs w:val="20"/>
              </w:rPr>
              <w:t>§</w:t>
            </w:r>
          </w:p>
          <w:p w14:paraId="510D0B00" w14:textId="77777777" w:rsidR="00C1345C" w:rsidRPr="00C1345C" w:rsidRDefault="00C1345C" w:rsidP="00C1345C">
            <w:pPr>
              <w:keepNext w:val="0"/>
              <w:spacing w:after="0" w:line="240" w:lineRule="auto"/>
              <w:ind w:firstLine="0"/>
              <w:outlineLvl w:val="9"/>
              <w:rPr>
                <w:b/>
                <w:szCs w:val="20"/>
              </w:rPr>
            </w:pPr>
            <w:r w:rsidRPr="00C1345C">
              <w:rPr>
                <w:b/>
                <w:szCs w:val="20"/>
              </w:rPr>
              <w:t>§</w:t>
            </w:r>
          </w:p>
          <w:p w14:paraId="7C6BE499" w14:textId="77777777" w:rsidR="00C1345C" w:rsidRPr="00C1345C" w:rsidRDefault="00C1345C" w:rsidP="00C1345C">
            <w:pPr>
              <w:keepNext w:val="0"/>
              <w:spacing w:after="0" w:line="240" w:lineRule="auto"/>
              <w:ind w:firstLine="0"/>
              <w:outlineLvl w:val="9"/>
              <w:rPr>
                <w:b/>
                <w:szCs w:val="20"/>
              </w:rPr>
            </w:pPr>
            <w:r w:rsidRPr="00C1345C">
              <w:rPr>
                <w:b/>
                <w:szCs w:val="20"/>
              </w:rPr>
              <w:t>§</w:t>
            </w:r>
          </w:p>
        </w:tc>
        <w:tc>
          <w:tcPr>
            <w:tcW w:w="4320" w:type="dxa"/>
          </w:tcPr>
          <w:p w14:paraId="522DCD79" w14:textId="0EE2563D" w:rsidR="00C1345C" w:rsidRPr="00C1345C" w:rsidRDefault="003D2C26" w:rsidP="00C1345C">
            <w:pPr>
              <w:keepNext w:val="0"/>
              <w:tabs>
                <w:tab w:val="center" w:pos="4770"/>
                <w:tab w:val="left" w:pos="5400"/>
              </w:tabs>
              <w:spacing w:after="0" w:line="240" w:lineRule="auto"/>
              <w:ind w:firstLine="0"/>
              <w:jc w:val="center"/>
              <w:outlineLvl w:val="9"/>
              <w:rPr>
                <w:b/>
                <w:bCs/>
                <w:caps/>
                <w:szCs w:val="20"/>
              </w:rPr>
            </w:pPr>
            <w:r>
              <w:rPr>
                <w:b/>
                <w:bCs/>
                <w:caps/>
                <w:szCs w:val="20"/>
              </w:rPr>
              <w:t>PUBLIC Utility Commission</w:t>
            </w:r>
          </w:p>
          <w:p w14:paraId="42307997" w14:textId="77777777" w:rsidR="00C1345C" w:rsidRPr="00C1345C" w:rsidRDefault="00C1345C" w:rsidP="00C1345C">
            <w:pPr>
              <w:keepNext w:val="0"/>
              <w:tabs>
                <w:tab w:val="center" w:pos="4770"/>
                <w:tab w:val="left" w:pos="5400"/>
              </w:tabs>
              <w:spacing w:after="0" w:line="240" w:lineRule="auto"/>
              <w:ind w:firstLine="0"/>
              <w:jc w:val="center"/>
              <w:outlineLvl w:val="9"/>
              <w:rPr>
                <w:b/>
                <w:bCs/>
                <w:caps/>
                <w:szCs w:val="20"/>
              </w:rPr>
            </w:pPr>
          </w:p>
          <w:p w14:paraId="58B57F81" w14:textId="4BD324EE" w:rsidR="00C1345C" w:rsidRPr="00C1345C" w:rsidRDefault="00C1345C" w:rsidP="00C1345C">
            <w:pPr>
              <w:keepNext w:val="0"/>
              <w:tabs>
                <w:tab w:val="center" w:pos="4770"/>
                <w:tab w:val="left" w:pos="5400"/>
              </w:tabs>
              <w:spacing w:after="0" w:line="240" w:lineRule="auto"/>
              <w:ind w:firstLine="0"/>
              <w:jc w:val="center"/>
              <w:outlineLvl w:val="9"/>
              <w:rPr>
                <w:b/>
                <w:bCs/>
                <w:caps/>
                <w:szCs w:val="20"/>
              </w:rPr>
            </w:pPr>
            <w:r w:rsidRPr="00C1345C">
              <w:rPr>
                <w:b/>
                <w:bCs/>
                <w:caps/>
                <w:szCs w:val="20"/>
              </w:rPr>
              <w:t>OF</w:t>
            </w:r>
            <w:r w:rsidR="003D2C26">
              <w:rPr>
                <w:b/>
                <w:bCs/>
                <w:caps/>
                <w:szCs w:val="20"/>
              </w:rPr>
              <w:t xml:space="preserve"> Texas</w:t>
            </w:r>
          </w:p>
          <w:p w14:paraId="45E9560C" w14:textId="77777777" w:rsidR="00C1345C" w:rsidRPr="00C1345C" w:rsidRDefault="00C1345C" w:rsidP="00C1345C">
            <w:pPr>
              <w:keepNext w:val="0"/>
              <w:tabs>
                <w:tab w:val="center" w:pos="4770"/>
                <w:tab w:val="left" w:pos="5400"/>
              </w:tabs>
              <w:spacing w:after="0" w:line="240" w:lineRule="auto"/>
              <w:ind w:firstLine="0"/>
              <w:jc w:val="center"/>
              <w:outlineLvl w:val="9"/>
              <w:rPr>
                <w:b/>
                <w:bCs/>
                <w:caps/>
                <w:szCs w:val="20"/>
              </w:rPr>
            </w:pPr>
          </w:p>
          <w:p w14:paraId="2396F090" w14:textId="1C130993" w:rsidR="00C1345C" w:rsidRPr="00C1345C" w:rsidRDefault="00C1345C" w:rsidP="00C1345C">
            <w:pPr>
              <w:keepNext w:val="0"/>
              <w:tabs>
                <w:tab w:val="center" w:pos="4770"/>
                <w:tab w:val="left" w:pos="5400"/>
              </w:tabs>
              <w:spacing w:after="0" w:line="240" w:lineRule="auto"/>
              <w:ind w:firstLine="0"/>
              <w:jc w:val="center"/>
              <w:outlineLvl w:val="9"/>
              <w:rPr>
                <w:b/>
                <w:bCs/>
                <w:caps/>
                <w:szCs w:val="20"/>
              </w:rPr>
            </w:pPr>
          </w:p>
        </w:tc>
      </w:tr>
    </w:tbl>
    <w:p w14:paraId="7A7FEA23" w14:textId="77777777" w:rsidR="00450B55" w:rsidRPr="00701B1B" w:rsidRDefault="00450B55" w:rsidP="00450B55">
      <w:pPr>
        <w:spacing w:after="0" w:line="240" w:lineRule="auto"/>
        <w:ind w:firstLine="0"/>
        <w:jc w:val="center"/>
        <w:outlineLvl w:val="9"/>
        <w:rPr>
          <w:b/>
          <w:caps/>
        </w:rPr>
      </w:pPr>
    </w:p>
    <w:p w14:paraId="18463E73" w14:textId="6EFDED23" w:rsidR="00450B55" w:rsidRPr="00701B1B" w:rsidRDefault="00450B55" w:rsidP="00450B55">
      <w:pPr>
        <w:spacing w:after="0" w:line="240" w:lineRule="auto"/>
        <w:ind w:firstLine="0"/>
        <w:jc w:val="center"/>
        <w:outlineLvl w:val="9"/>
        <w:rPr>
          <w:b/>
          <w:caps/>
        </w:rPr>
      </w:pPr>
      <w:r w:rsidRPr="00701B1B">
        <w:rPr>
          <w:b/>
          <w:caps/>
        </w:rPr>
        <w:t xml:space="preserve">Commission Staff’s </w:t>
      </w:r>
      <w:r w:rsidR="003D2C26">
        <w:rPr>
          <w:b/>
          <w:caps/>
        </w:rPr>
        <w:t>Exceptions to the Proposal for decision</w:t>
      </w:r>
    </w:p>
    <w:p w14:paraId="314819AF" w14:textId="77777777" w:rsidR="00450B55" w:rsidRPr="00701B1B" w:rsidRDefault="00450B55" w:rsidP="00450B55">
      <w:pPr>
        <w:keepNext w:val="0"/>
        <w:spacing w:after="0" w:line="240" w:lineRule="auto"/>
        <w:ind w:firstLine="0"/>
        <w:contextualSpacing/>
        <w:outlineLvl w:val="9"/>
        <w:rPr>
          <w:b/>
          <w:szCs w:val="20"/>
        </w:rPr>
      </w:pPr>
    </w:p>
    <w:p w14:paraId="0DC1E2DF" w14:textId="67B79DD6" w:rsidR="0076431F" w:rsidRPr="00701B1B" w:rsidRDefault="00450B55" w:rsidP="00745D0A">
      <w:pPr>
        <w:pStyle w:val="Heading1"/>
        <w:numPr>
          <w:ilvl w:val="0"/>
          <w:numId w:val="2"/>
        </w:numPr>
        <w:spacing w:after="0" w:line="360" w:lineRule="auto"/>
        <w:ind w:left="0" w:firstLine="0"/>
        <w:rPr>
          <w:sz w:val="24"/>
          <w:szCs w:val="18"/>
        </w:rPr>
      </w:pPr>
      <w:bookmarkStart w:id="0" w:name="_Toc164298037"/>
      <w:bookmarkStart w:id="1" w:name="_Hlk173226647"/>
      <w:r w:rsidRPr="00701B1B">
        <w:rPr>
          <w:sz w:val="24"/>
          <w:szCs w:val="18"/>
        </w:rPr>
        <w:t>INTRODUCTION</w:t>
      </w:r>
      <w:bookmarkEnd w:id="0"/>
    </w:p>
    <w:bookmarkEnd w:id="1"/>
    <w:p w14:paraId="01A55D8B" w14:textId="06EF9179" w:rsidR="003E5D76" w:rsidRDefault="003D2C26" w:rsidP="003E5D76">
      <w:pPr>
        <w:pStyle w:val="ListParagraph"/>
        <w:ind w:firstLine="720"/>
        <w:jc w:val="both"/>
        <w:rPr>
          <w:rFonts w:cs="Times New Roman"/>
        </w:rPr>
      </w:pPr>
      <w:r>
        <w:rPr>
          <w:rFonts w:cs="Times New Roman"/>
        </w:rPr>
        <w:t xml:space="preserve">On January 31, 2023, </w:t>
      </w:r>
      <w:r w:rsidR="002436E3">
        <w:rPr>
          <w:rFonts w:cs="Times New Roman"/>
        </w:rPr>
        <w:t>El Paso Electric Company (EPE</w:t>
      </w:r>
      <w:r w:rsidR="003E5D76" w:rsidRPr="00701B1B">
        <w:rPr>
          <w:rFonts w:cs="Times New Roman"/>
        </w:rPr>
        <w:t xml:space="preserve">), </w:t>
      </w:r>
      <w:r w:rsidR="00204CD8">
        <w:rPr>
          <w:rFonts w:cs="Times New Roman"/>
        </w:rPr>
        <w:t xml:space="preserve">filed a statement of intent and application with the Public Utility Commission of Texas (Commission), </w:t>
      </w:r>
      <w:r w:rsidR="003E5D76" w:rsidRPr="00701B1B">
        <w:rPr>
          <w:rFonts w:cs="Times New Roman"/>
        </w:rPr>
        <w:t>seek</w:t>
      </w:r>
      <w:r w:rsidR="00204CD8">
        <w:rPr>
          <w:rFonts w:cs="Times New Roman"/>
        </w:rPr>
        <w:t>ing</w:t>
      </w:r>
      <w:r w:rsidR="002436E3">
        <w:rPr>
          <w:rFonts w:cs="Times New Roman"/>
        </w:rPr>
        <w:t xml:space="preserve"> approval </w:t>
      </w:r>
      <w:r w:rsidR="002436E3">
        <w:t xml:space="preserve">of its proposed Texas electric vehicle (EV)-ready pilot programs and tariffs, which include the (1) EV Smart Rewards Pilot Program, (2) Whole House EV </w:t>
      </w:r>
      <w:r w:rsidR="007E3641">
        <w:t xml:space="preserve">(WHEV) </w:t>
      </w:r>
      <w:r w:rsidR="002436E3">
        <w:t xml:space="preserve">Pilot Incentive Credit Rider, (3) the PowerConnect Pilot Program, and (4) the Take Charge TX </w:t>
      </w:r>
      <w:r w:rsidR="007E3641">
        <w:t xml:space="preserve">(TCTX) </w:t>
      </w:r>
      <w:r w:rsidR="002436E3">
        <w:t>Pilot Program.</w:t>
      </w:r>
      <w:r w:rsidR="00204CD8">
        <w:t xml:space="preserve"> </w:t>
      </w:r>
    </w:p>
    <w:p w14:paraId="046E3DB9" w14:textId="54FD61A5" w:rsidR="003D2C26" w:rsidRDefault="003D2C26" w:rsidP="003E5D76">
      <w:pPr>
        <w:pStyle w:val="ListParagraph"/>
        <w:ind w:firstLine="720"/>
        <w:jc w:val="both"/>
      </w:pPr>
      <w:r>
        <w:rPr>
          <w:rFonts w:cs="Times New Roman"/>
        </w:rPr>
        <w:t>On June 28, 2024, the administrative law judges</w:t>
      </w:r>
      <w:r w:rsidR="00263E22">
        <w:rPr>
          <w:rFonts w:cs="Times New Roman"/>
        </w:rPr>
        <w:t xml:space="preserve"> (ALJ)</w:t>
      </w:r>
      <w:r>
        <w:rPr>
          <w:rFonts w:cs="Times New Roman"/>
        </w:rPr>
        <w:t xml:space="preserve"> from the State Office of Administrative Hearings (SOAH) filed a Proposal for Decision (PFD) in this docket, and on July 15, 2024, </w:t>
      </w:r>
      <w:r>
        <w:t xml:space="preserve">Commission Counsel filed an Exceptions and Replies Memorandum, establishing a deadline of August 1, 2024 to file exceptions to the PFD. Therefore, this pleading is timely filed. </w:t>
      </w:r>
    </w:p>
    <w:p w14:paraId="6CB99835" w14:textId="4B266FD4" w:rsidR="003D2C26" w:rsidRPr="00701B1B" w:rsidRDefault="003D2C26" w:rsidP="003E5D76">
      <w:pPr>
        <w:pStyle w:val="ListParagraph"/>
        <w:ind w:firstLine="720"/>
        <w:jc w:val="both"/>
        <w:rPr>
          <w:rFonts w:cs="Times New Roman"/>
        </w:rPr>
      </w:pPr>
      <w:r>
        <w:t xml:space="preserve">Commission Staff (Staff) is </w:t>
      </w:r>
      <w:r w:rsidR="00D02FA5">
        <w:t xml:space="preserve">grateful for the reasoned consideration of the SOAH ALJs. This proceeding presented novel issues and the ALJs have carefully considered each of the issues in this proceeding. </w:t>
      </w:r>
      <w:r w:rsidR="00EE5EE6">
        <w:t xml:space="preserve">While Staff agrees with </w:t>
      </w:r>
      <w:r w:rsidR="00E744E6">
        <w:t xml:space="preserve">limited portions of the </w:t>
      </w:r>
      <w:r w:rsidR="00EE5EE6">
        <w:t>PFD</w:t>
      </w:r>
      <w:r w:rsidR="00E744E6">
        <w:t xml:space="preserve"> regarding 1) the inapplicability of the</w:t>
      </w:r>
      <w:r w:rsidR="00EE5EE6">
        <w:t xml:space="preserve"> PowerConnect Pilot Program and the TCTX Pilot Program </w:t>
      </w:r>
      <w:r w:rsidR="00E744E6">
        <w:rPr>
          <w:rFonts w:cs="Times New Roman"/>
        </w:rPr>
        <w:t xml:space="preserve">to </w:t>
      </w:r>
      <w:r w:rsidR="00C33FC8">
        <w:rPr>
          <w:rFonts w:cs="Times New Roman"/>
        </w:rPr>
        <w:t xml:space="preserve">EPE’s customers that intend to use </w:t>
      </w:r>
      <w:r w:rsidR="00EE5EE6">
        <w:rPr>
          <w:rFonts w:cs="Times New Roman"/>
        </w:rPr>
        <w:t>non-public EV charging stations</w:t>
      </w:r>
      <w:r w:rsidR="00C33FC8">
        <w:rPr>
          <w:rFonts w:cs="Times New Roman"/>
        </w:rPr>
        <w:t>,</w:t>
      </w:r>
      <w:r w:rsidR="00E744E6">
        <w:rPr>
          <w:rFonts w:cs="Times New Roman"/>
        </w:rPr>
        <w:t xml:space="preserve"> </w:t>
      </w:r>
      <w:r w:rsidR="00C33FC8">
        <w:rPr>
          <w:rFonts w:cs="Times New Roman"/>
        </w:rPr>
        <w:t xml:space="preserve">pursuant </w:t>
      </w:r>
      <w:r w:rsidR="00CB7212">
        <w:rPr>
          <w:rFonts w:cs="Times New Roman"/>
        </w:rPr>
        <w:t xml:space="preserve">to </w:t>
      </w:r>
      <w:r w:rsidR="00E744E6">
        <w:rPr>
          <w:rFonts w:cs="Times New Roman"/>
        </w:rPr>
        <w:t xml:space="preserve">relevant provisions under </w:t>
      </w:r>
      <w:r w:rsidR="00E744E6" w:rsidRPr="00C75CA7">
        <w:rPr>
          <w:rFonts w:cs="Times New Roman"/>
        </w:rPr>
        <w:t>PURA</w:t>
      </w:r>
      <w:r w:rsidR="00E744E6">
        <w:rPr>
          <w:rStyle w:val="FootnoteReference"/>
          <w:rFonts w:cs="Times New Roman"/>
        </w:rPr>
        <w:footnoteReference w:id="2"/>
      </w:r>
      <w:r w:rsidR="00E744E6" w:rsidRPr="00C75CA7">
        <w:rPr>
          <w:rFonts w:cs="Times New Roman"/>
        </w:rPr>
        <w:t xml:space="preserve"> </w:t>
      </w:r>
      <w:r w:rsidR="0036668D" w:rsidRPr="00C75CA7">
        <w:rPr>
          <w:rFonts w:cs="Times New Roman"/>
        </w:rPr>
        <w:t>§§</w:t>
      </w:r>
      <w:r w:rsidR="00E744E6">
        <w:rPr>
          <w:rFonts w:cs="Times New Roman"/>
        </w:rPr>
        <w:t xml:space="preserve"> 42.0102 and 42.0103</w:t>
      </w:r>
      <w:r w:rsidR="00C33FC8">
        <w:rPr>
          <w:rFonts w:cs="Times New Roman"/>
        </w:rPr>
        <w:t>,</w:t>
      </w:r>
      <w:r w:rsidR="00E744E6">
        <w:rPr>
          <w:rFonts w:cs="Times New Roman"/>
        </w:rPr>
        <w:t xml:space="preserve"> and 2) the prohibition imposed on the TCTX Pilot program to the recovery of unrecovered costs (bad debt) from non-participating customers,</w:t>
      </w:r>
      <w:r w:rsidR="00610B92">
        <w:rPr>
          <w:rStyle w:val="FootnoteReference"/>
          <w:rFonts w:cs="Times New Roman"/>
        </w:rPr>
        <w:footnoteReference w:id="3"/>
      </w:r>
      <w:r w:rsidR="00E744E6">
        <w:rPr>
          <w:rFonts w:cs="Times New Roman"/>
        </w:rPr>
        <w:t xml:space="preserve"> </w:t>
      </w:r>
      <w:r w:rsidR="00D02FA5">
        <w:t xml:space="preserve">Staff respectfully excepts to the </w:t>
      </w:r>
      <w:r w:rsidR="00E744E6">
        <w:t xml:space="preserve">remainder of the </w:t>
      </w:r>
      <w:r w:rsidR="00D02FA5">
        <w:t xml:space="preserve">PFD and the ALJs’ recommendations that the EV-ready pilot programs and tariffs be approved. </w:t>
      </w:r>
    </w:p>
    <w:p w14:paraId="6A95010F" w14:textId="77777777" w:rsidR="00B86492" w:rsidRPr="00701B1B" w:rsidRDefault="00B86492" w:rsidP="00116944">
      <w:pPr>
        <w:pStyle w:val="ListParagraph"/>
        <w:ind w:firstLine="720"/>
        <w:jc w:val="both"/>
        <w:rPr>
          <w:rFonts w:cs="Times New Roman"/>
        </w:rPr>
      </w:pPr>
    </w:p>
    <w:p w14:paraId="6BD5324B" w14:textId="54FA3A39" w:rsidR="00B5220C" w:rsidRDefault="00B5220C" w:rsidP="00745D0A">
      <w:pPr>
        <w:pStyle w:val="Heading1"/>
        <w:numPr>
          <w:ilvl w:val="0"/>
          <w:numId w:val="2"/>
        </w:numPr>
        <w:spacing w:after="0" w:line="360" w:lineRule="auto"/>
        <w:ind w:left="0" w:firstLine="0"/>
        <w:rPr>
          <w:sz w:val="24"/>
          <w:szCs w:val="18"/>
        </w:rPr>
      </w:pPr>
      <w:r>
        <w:rPr>
          <w:sz w:val="24"/>
          <w:szCs w:val="18"/>
        </w:rPr>
        <w:lastRenderedPageBreak/>
        <w:t>EV RATE CLASS RECOMMENDATION</w:t>
      </w:r>
    </w:p>
    <w:p w14:paraId="69E3A5C8" w14:textId="79EE0832" w:rsidR="003C7EC3" w:rsidRDefault="00B5220C" w:rsidP="00B5220C">
      <w:pPr>
        <w:pStyle w:val="ListParagraph"/>
        <w:ind w:firstLine="720"/>
        <w:jc w:val="both"/>
      </w:pPr>
      <w:r>
        <w:t xml:space="preserve">As an initial matter, </w:t>
      </w:r>
      <w:r w:rsidR="00D81AAC">
        <w:t>Staff addresses its recommendation that it is much more reasonable</w:t>
      </w:r>
      <w:r w:rsidR="00CB7212">
        <w:t>, if not necessary,</w:t>
      </w:r>
      <w:r w:rsidR="00D81AAC">
        <w:t xml:space="preserve"> for EPE to establish a separate EV rate class to implement these pilot programs and tariffs where EV-specific policies are embedded into rates.</w:t>
      </w:r>
      <w:r w:rsidR="00D81AAC">
        <w:rPr>
          <w:rStyle w:val="FootnoteReference"/>
        </w:rPr>
        <w:footnoteReference w:id="4"/>
      </w:r>
      <w:r w:rsidR="00D81AAC">
        <w:t xml:space="preserve"> Notably, each of EPE’s EV-ready pilot programs and tariffs inherently entail various forms of preferential treatment that are not applicable to other customers within the same class and result in subsidies that are applied to EV customers at the expense of non-EV customers.</w:t>
      </w:r>
      <w:r w:rsidR="00D81AAC">
        <w:rPr>
          <w:rStyle w:val="FootnoteReference"/>
        </w:rPr>
        <w:footnoteReference w:id="5"/>
      </w:r>
      <w:r w:rsidR="00361406">
        <w:t xml:space="preserve"> Specifically, in terms of facilitating certain consumption patterns, </w:t>
      </w:r>
      <w:r w:rsidR="005164B7">
        <w:t xml:space="preserve">there is preferential treatment, because despite the fact that there are other customers </w:t>
      </w:r>
      <w:r w:rsidR="00CB7212">
        <w:t xml:space="preserve">who </w:t>
      </w:r>
      <w:r w:rsidR="005164B7">
        <w:t>may have similar usage characteristics as EV customer</w:t>
      </w:r>
      <w:r w:rsidR="00CB7212">
        <w:t>s</w:t>
      </w:r>
      <w:r w:rsidR="005164B7">
        <w:t xml:space="preserve">, the </w:t>
      </w:r>
      <w:r w:rsidR="00361406">
        <w:t>proposed discounts and incentives are only available to EV customers.</w:t>
      </w:r>
      <w:r w:rsidR="00361406">
        <w:rPr>
          <w:rStyle w:val="FootnoteReference"/>
        </w:rPr>
        <w:footnoteReference w:id="6"/>
      </w:r>
      <w:r w:rsidR="0077403E">
        <w:t xml:space="preserve"> In terms of promoting adoption of EV charging facilities and technologies, </w:t>
      </w:r>
      <w:r w:rsidR="005164B7">
        <w:t>proposals inevitably result in the discriminatory policy of subsidizing EV customers by shifting costs to other customers.</w:t>
      </w:r>
      <w:r w:rsidR="005164B7">
        <w:rPr>
          <w:rStyle w:val="FootnoteReference"/>
        </w:rPr>
        <w:footnoteReference w:id="7"/>
      </w:r>
      <w:r w:rsidR="005164B7">
        <w:t xml:space="preserve"> Further, </w:t>
      </w:r>
      <w:r w:rsidR="0077403E">
        <w:t xml:space="preserve">there are costs unique to EV customers that do not provide benefits to EPE’s distribution system as a whole, </w:t>
      </w:r>
      <w:r w:rsidR="005164B7">
        <w:t xml:space="preserve">and </w:t>
      </w:r>
      <w:r w:rsidR="0077403E">
        <w:t>the subsidization of potentially large loads by EV customers might in the long run reduce the resiliency and reliability of EPE’s system.</w:t>
      </w:r>
      <w:r w:rsidR="0077403E">
        <w:rPr>
          <w:rStyle w:val="FootnoteReference"/>
        </w:rPr>
        <w:footnoteReference w:id="8"/>
      </w:r>
    </w:p>
    <w:p w14:paraId="70203B0B" w14:textId="2BA0CEDB" w:rsidR="00641E43" w:rsidRDefault="00064490" w:rsidP="003C3037">
      <w:pPr>
        <w:pStyle w:val="ListParagraph"/>
        <w:ind w:firstLine="720"/>
        <w:jc w:val="both"/>
      </w:pPr>
      <w:r>
        <w:t xml:space="preserve">Even if EPE commits to recovering the costs of these programs from participating customers or the Commission conditions approval </w:t>
      </w:r>
      <w:r w:rsidR="00EE3078">
        <w:t>in that regard, such conditions would not necessarily prevent the non-participating customers from potentially bearing some of the costs.</w:t>
      </w:r>
      <w:r w:rsidR="00EE3078">
        <w:rPr>
          <w:rStyle w:val="FootnoteReference"/>
        </w:rPr>
        <w:footnoteReference w:id="9"/>
      </w:r>
      <w:r w:rsidR="003C7EC3">
        <w:t xml:space="preserve"> When it comes time to review and reconcile these costs in a major electric rate proceeding, there is only a limited time window in which </w:t>
      </w:r>
      <w:r w:rsidR="00641E43">
        <w:t xml:space="preserve">to </w:t>
      </w:r>
      <w:r w:rsidR="003C7EC3">
        <w:t>review, opine, and</w:t>
      </w:r>
      <w:r w:rsidR="00641E43">
        <w:t xml:space="preserve"> </w:t>
      </w:r>
      <w:r w:rsidR="003C7EC3">
        <w:t xml:space="preserve">decide on issues </w:t>
      </w:r>
      <w:r w:rsidR="00641E43">
        <w:t>related to these costs.</w:t>
      </w:r>
      <w:r w:rsidR="00641E43">
        <w:rPr>
          <w:rStyle w:val="FootnoteReference"/>
        </w:rPr>
        <w:footnoteReference w:id="10"/>
      </w:r>
      <w:r w:rsidR="00641E43">
        <w:t xml:space="preserve"> However, in addition to the costs of these non-standard programs, </w:t>
      </w:r>
      <w:r w:rsidR="003C7EC3">
        <w:t xml:space="preserve">there many other </w:t>
      </w:r>
      <w:r w:rsidR="00641E43">
        <w:t xml:space="preserve">utility-specific nonstandard programs, as well as </w:t>
      </w:r>
      <w:r w:rsidR="003C7EC3">
        <w:t>incremental cost recovery riders</w:t>
      </w:r>
      <w:r w:rsidR="00641E43">
        <w:t xml:space="preserve">, </w:t>
      </w:r>
      <w:r w:rsidR="003C7EC3">
        <w:t>that have been approved or expanded, such that the Commission runs the risk of unreasonably burdening itself in future rate proceeding</w:t>
      </w:r>
      <w:r w:rsidR="00641E43">
        <w:t>s from being able to sufficiently review every EV-related cost</w:t>
      </w:r>
      <w:r w:rsidR="003C7EC3">
        <w:t>.</w:t>
      </w:r>
      <w:r w:rsidR="003C7EC3">
        <w:rPr>
          <w:rStyle w:val="FootnoteReference"/>
        </w:rPr>
        <w:footnoteReference w:id="11"/>
      </w:r>
      <w:r w:rsidR="003C7EC3">
        <w:t xml:space="preserve"> </w:t>
      </w:r>
    </w:p>
    <w:p w14:paraId="6A9223A3" w14:textId="5B96D93B" w:rsidR="00C964D5" w:rsidRDefault="003C7EC3" w:rsidP="003C3037">
      <w:pPr>
        <w:pStyle w:val="ListParagraph"/>
        <w:ind w:firstLine="720"/>
        <w:jc w:val="both"/>
      </w:pPr>
      <w:r>
        <w:lastRenderedPageBreak/>
        <w:t xml:space="preserve">Instead, establishing a separate EV rate class would </w:t>
      </w:r>
      <w:r w:rsidR="00024C2C">
        <w:t xml:space="preserve">1) be </w:t>
      </w:r>
      <w:r>
        <w:t>consistent with well-established ratemaking practice</w:t>
      </w:r>
      <w:r w:rsidR="00024C2C">
        <w:t>, 2) provide m</w:t>
      </w:r>
      <w:r>
        <w:t>ore transparen</w:t>
      </w:r>
      <w:r w:rsidR="00024C2C">
        <w:t>cy</w:t>
      </w:r>
      <w:r>
        <w:t xml:space="preserve"> for the Commissio</w:t>
      </w:r>
      <w:r w:rsidR="00024C2C">
        <w:t xml:space="preserve">n and stakeholders in the </w:t>
      </w:r>
      <w:r>
        <w:t>review of costs</w:t>
      </w:r>
      <w:r w:rsidR="00024C2C">
        <w:t>, and 3) more reasonably facilitate compliance with PURA and Commission rules.</w:t>
      </w:r>
      <w:r w:rsidR="00024C2C">
        <w:rPr>
          <w:rStyle w:val="FootnoteReference"/>
        </w:rPr>
        <w:footnoteReference w:id="12"/>
      </w:r>
      <w:r w:rsidR="003C3037">
        <w:t xml:space="preserve"> More specifically, it would enable EPE to provide rate structures for EV customers in a manner that is based on costs, because EV-specific costs would</w:t>
      </w:r>
      <w:r w:rsidR="00F06A9B">
        <w:t xml:space="preserve"> be</w:t>
      </w:r>
      <w:r w:rsidR="003C3037">
        <w:t xml:space="preserve"> assigned or allocated to, and recovered from, EV customers, which is the same treatment applied to Street and Outdoor lighting customers by all regulated utilities in Texas.</w:t>
      </w:r>
      <w:r w:rsidR="003C3037">
        <w:rPr>
          <w:rStyle w:val="FootnoteReference"/>
        </w:rPr>
        <w:footnoteReference w:id="13"/>
      </w:r>
      <w:r w:rsidR="008E0690">
        <w:t xml:space="preserve"> Similar to lighting service, there are unique infrastructure and equipment related to providing EV-related services to EV customers</w:t>
      </w:r>
      <w:r w:rsidR="00F06A9B">
        <w:t>,</w:t>
      </w:r>
      <w:r w:rsidR="008E0690">
        <w:t xml:space="preserve"> and an EV rate class can provide various rate structures based on different equipment, such that rate options can be available for all residential and non-residential EV customers in a non-discriminatory manner.</w:t>
      </w:r>
      <w:r w:rsidR="008E0690">
        <w:rPr>
          <w:rStyle w:val="FootnoteReference"/>
        </w:rPr>
        <w:footnoteReference w:id="14"/>
      </w:r>
      <w:r w:rsidR="00205C60">
        <w:t xml:space="preserve"> </w:t>
      </w:r>
    </w:p>
    <w:p w14:paraId="4C83F40B" w14:textId="27371ECF" w:rsidR="003C3037" w:rsidRDefault="00205C60" w:rsidP="005B69C0">
      <w:pPr>
        <w:pStyle w:val="ListParagraph"/>
        <w:ind w:firstLine="720"/>
        <w:jc w:val="both"/>
      </w:pPr>
      <w:r>
        <w:t>With that said, Staff acknowledges that the ALJs declined to recommend imposing conditions for EPE to establish a separate EV rate class in this proceeding,</w:t>
      </w:r>
      <w:r>
        <w:rPr>
          <w:rStyle w:val="FootnoteReference"/>
        </w:rPr>
        <w:footnoteReference w:id="15"/>
      </w:r>
      <w:r>
        <w:t xml:space="preserve"> in part on the basis that such a condition is premature at this time</w:t>
      </w:r>
      <w:r w:rsidR="00643802">
        <w:t>.</w:t>
      </w:r>
      <w:r w:rsidR="00643802">
        <w:rPr>
          <w:rStyle w:val="FootnoteReference"/>
        </w:rPr>
        <w:footnoteReference w:id="16"/>
      </w:r>
      <w:r w:rsidR="00643802">
        <w:t xml:space="preserve"> Given that EPE has indicated an intention to file a rate case later this year, EPE could establish the rate class in that proceeding, such that there should not </w:t>
      </w:r>
      <w:r w:rsidR="00E954EB">
        <w:t xml:space="preserve">be </w:t>
      </w:r>
      <w:r w:rsidR="00643802">
        <w:t xml:space="preserve">a concern about the delay in being able to implement these EV-related services through an EV rate class rather than </w:t>
      </w:r>
      <w:r w:rsidR="00717FA2">
        <w:t xml:space="preserve">through </w:t>
      </w:r>
      <w:r w:rsidR="00643802">
        <w:t>EPE’s proposed pilot programs and tariffs.</w:t>
      </w:r>
      <w:r w:rsidR="00643802">
        <w:rPr>
          <w:rStyle w:val="FootnoteReference"/>
        </w:rPr>
        <w:footnoteReference w:id="17"/>
      </w:r>
      <w:r w:rsidR="00643802">
        <w:t xml:space="preserve"> Alternatively, EPE may seek approval of a separate EV rate class outside of its base rate case.</w:t>
      </w:r>
      <w:r w:rsidR="00643802">
        <w:rPr>
          <w:rStyle w:val="FootnoteReference"/>
        </w:rPr>
        <w:footnoteReference w:id="18"/>
      </w:r>
      <w:r w:rsidR="00643802">
        <w:t xml:space="preserve"> </w:t>
      </w:r>
      <w:r w:rsidR="0034034A">
        <w:t>Further, EPE may also, as necessary, seek approval to establish additional EV rate options outside of a base rate case, such that additional options for EV-related services, infrastructure, and equipment may be added</w:t>
      </w:r>
      <w:r w:rsidR="00717FA2">
        <w:t>, as necessary,</w:t>
      </w:r>
      <w:r w:rsidR="0034034A">
        <w:t xml:space="preserve"> </w:t>
      </w:r>
      <w:r w:rsidR="00717FA2">
        <w:t xml:space="preserve">in the future </w:t>
      </w:r>
      <w:r w:rsidR="0034034A">
        <w:t>on an expedited basis.</w:t>
      </w:r>
      <w:r w:rsidR="0034034A">
        <w:rPr>
          <w:rStyle w:val="FootnoteReference"/>
        </w:rPr>
        <w:footnoteReference w:id="19"/>
      </w:r>
      <w:r w:rsidR="0034034A">
        <w:t xml:space="preserve"> </w:t>
      </w:r>
      <w:r w:rsidR="00643802">
        <w:t>Notwithstanding the foregoing</w:t>
      </w:r>
      <w:r w:rsidR="00E954EB">
        <w:t xml:space="preserve"> options</w:t>
      </w:r>
      <w:r w:rsidR="00643802">
        <w:t xml:space="preserve">, </w:t>
      </w:r>
      <w:r w:rsidR="00E954EB">
        <w:t xml:space="preserve">to the extent that the Commission determines to approve EPE’s application, </w:t>
      </w:r>
      <w:r w:rsidR="00643802">
        <w:t xml:space="preserve">Staff </w:t>
      </w:r>
      <w:r w:rsidR="005B69C0">
        <w:t xml:space="preserve">recommends </w:t>
      </w:r>
      <w:r w:rsidR="00E954EB">
        <w:t xml:space="preserve">that </w:t>
      </w:r>
      <w:r w:rsidR="005B69C0">
        <w:t>EPE be required to establish a separate EV rate clas</w:t>
      </w:r>
      <w:r w:rsidR="0020339A">
        <w:t>s</w:t>
      </w:r>
      <w:r w:rsidR="009335D6">
        <w:t xml:space="preserve"> </w:t>
      </w:r>
      <w:r w:rsidR="00E954EB">
        <w:t xml:space="preserve">in </w:t>
      </w:r>
      <w:r w:rsidR="009A08F4">
        <w:t xml:space="preserve">a future </w:t>
      </w:r>
      <w:r w:rsidR="00E954EB">
        <w:t>rate proceeding</w:t>
      </w:r>
      <w:r w:rsidR="00662ED0">
        <w:t xml:space="preserve"> so that</w:t>
      </w:r>
      <w:r w:rsidR="009335D6">
        <w:t xml:space="preserve"> the costs </w:t>
      </w:r>
      <w:r w:rsidR="00662ED0">
        <w:t>for</w:t>
      </w:r>
      <w:r w:rsidR="009335D6">
        <w:t xml:space="preserve"> these programs</w:t>
      </w:r>
      <w:r w:rsidR="00662ED0">
        <w:t xml:space="preserve"> are recovered only from an EV rate class</w:t>
      </w:r>
      <w:r w:rsidR="005B69C0">
        <w:t>.</w:t>
      </w:r>
    </w:p>
    <w:p w14:paraId="57A3E921" w14:textId="24EB241D" w:rsidR="00F42BFF" w:rsidRPr="00C75CA7" w:rsidRDefault="00E72D36" w:rsidP="00745D0A">
      <w:pPr>
        <w:pStyle w:val="Heading1"/>
        <w:numPr>
          <w:ilvl w:val="0"/>
          <w:numId w:val="2"/>
        </w:numPr>
        <w:spacing w:after="0" w:line="360" w:lineRule="auto"/>
        <w:ind w:left="0" w:firstLine="0"/>
        <w:rPr>
          <w:sz w:val="24"/>
          <w:szCs w:val="18"/>
        </w:rPr>
      </w:pPr>
      <w:r>
        <w:rPr>
          <w:sz w:val="24"/>
          <w:szCs w:val="18"/>
        </w:rPr>
        <w:lastRenderedPageBreak/>
        <w:t>EXCEPTIONS</w:t>
      </w:r>
      <w:r w:rsidR="00441AAF" w:rsidRPr="00C75CA7">
        <w:t xml:space="preserve">   </w:t>
      </w:r>
    </w:p>
    <w:p w14:paraId="4BA38D95" w14:textId="4286F236" w:rsidR="00AA167A" w:rsidRPr="00E33A26" w:rsidRDefault="00151BC4" w:rsidP="00745D0A">
      <w:pPr>
        <w:pStyle w:val="Heading2"/>
        <w:numPr>
          <w:ilvl w:val="0"/>
          <w:numId w:val="6"/>
        </w:numPr>
        <w:spacing w:after="0"/>
        <w:ind w:hanging="720"/>
        <w:jc w:val="left"/>
        <w:rPr>
          <w:b/>
          <w:bCs/>
          <w:caps/>
          <w:szCs w:val="18"/>
        </w:rPr>
      </w:pPr>
      <w:bookmarkStart w:id="2" w:name="_Toc164298042"/>
      <w:bookmarkStart w:id="3" w:name="_Hlk163629107"/>
      <w:r>
        <w:rPr>
          <w:b/>
          <w:bCs/>
          <w:szCs w:val="18"/>
        </w:rPr>
        <w:t>EV Smart Rewards Pilot Program</w:t>
      </w:r>
      <w:bookmarkEnd w:id="2"/>
    </w:p>
    <w:bookmarkEnd w:id="3"/>
    <w:p w14:paraId="2CE24012" w14:textId="2720DDF3" w:rsidR="0097478C" w:rsidRDefault="00882B3B" w:rsidP="00B5220C">
      <w:pPr>
        <w:pStyle w:val="ListParagraph"/>
        <w:ind w:firstLine="720"/>
        <w:jc w:val="both"/>
        <w:rPr>
          <w:rFonts w:cs="Times New Roman"/>
          <w:bCs/>
          <w:szCs w:val="24"/>
        </w:rPr>
      </w:pPr>
      <w:r>
        <w:t>Staff excepts to the ALJs’ analysis to support the finding that the EV Smart Rewards Pilot Program is consistent with PURA and Commission rules.</w:t>
      </w:r>
      <w:r>
        <w:rPr>
          <w:rStyle w:val="FootnoteReference"/>
        </w:rPr>
        <w:footnoteReference w:id="20"/>
      </w:r>
      <w:r>
        <w:t xml:space="preserve"> Specifically, the </w:t>
      </w:r>
      <w:r w:rsidR="00967785">
        <w:t>ALJs</w:t>
      </w:r>
      <w:r>
        <w:t xml:space="preserve"> cite to PURA </w:t>
      </w:r>
      <w:r w:rsidRPr="00435CA7">
        <w:rPr>
          <w:rFonts w:cs="Times New Roman"/>
          <w:bCs/>
          <w:szCs w:val="24"/>
        </w:rPr>
        <w:t>§</w:t>
      </w:r>
      <w:r w:rsidR="00967785">
        <w:rPr>
          <w:rFonts w:cs="Times New Roman"/>
          <w:bCs/>
          <w:szCs w:val="24"/>
        </w:rPr>
        <w:t> </w:t>
      </w:r>
      <w:r>
        <w:rPr>
          <w:rFonts w:cs="Times New Roman"/>
          <w:bCs/>
          <w:szCs w:val="24"/>
        </w:rPr>
        <w:t>36.204, which relevantly provides that</w:t>
      </w:r>
      <w:r w:rsidR="00967785">
        <w:rPr>
          <w:rFonts w:cs="Times New Roman"/>
          <w:bCs/>
          <w:szCs w:val="24"/>
        </w:rPr>
        <w:t>,</w:t>
      </w:r>
      <w:r>
        <w:rPr>
          <w:rFonts w:cs="Times New Roman"/>
          <w:bCs/>
          <w:szCs w:val="24"/>
        </w:rPr>
        <w:t xml:space="preserve"> in establishing rates for an electric utility, the Commission</w:t>
      </w:r>
      <w:r w:rsidR="00967785">
        <w:rPr>
          <w:rFonts w:cs="Times New Roman"/>
          <w:bCs/>
          <w:szCs w:val="24"/>
        </w:rPr>
        <w:t xml:space="preserve"> may </w:t>
      </w:r>
      <w:r>
        <w:rPr>
          <w:rFonts w:cs="Times New Roman"/>
          <w:bCs/>
          <w:szCs w:val="24"/>
        </w:rPr>
        <w:t>1) allow timely recovery of the reasonable costs of load management and 2) authorize additional incentives for load management.</w:t>
      </w:r>
      <w:r>
        <w:rPr>
          <w:rStyle w:val="FootnoteReference"/>
          <w:rFonts w:cs="Times New Roman"/>
          <w:bCs/>
          <w:szCs w:val="24"/>
        </w:rPr>
        <w:footnoteReference w:id="21"/>
      </w:r>
      <w:r>
        <w:rPr>
          <w:rFonts w:cs="Times New Roman"/>
          <w:bCs/>
          <w:szCs w:val="24"/>
        </w:rPr>
        <w:t xml:space="preserve"> </w:t>
      </w:r>
      <w:r w:rsidR="00967785">
        <w:rPr>
          <w:rFonts w:cs="Times New Roman"/>
          <w:bCs/>
          <w:szCs w:val="24"/>
        </w:rPr>
        <w:t xml:space="preserve">Regarding the latter, Staff agrees with the PFD that, in authorizing recovery of “additional incentives, the </w:t>
      </w:r>
      <w:r w:rsidR="00200BBF">
        <w:rPr>
          <w:rFonts w:cs="Times New Roman"/>
          <w:bCs/>
          <w:szCs w:val="24"/>
        </w:rPr>
        <w:t>L</w:t>
      </w:r>
      <w:r w:rsidR="00967785">
        <w:rPr>
          <w:rFonts w:cs="Times New Roman"/>
          <w:bCs/>
          <w:szCs w:val="24"/>
        </w:rPr>
        <w:t>egislature did not envision that load management must adhere to strict cost recovery requirements.</w:t>
      </w:r>
      <w:r w:rsidR="008750F4">
        <w:rPr>
          <w:rFonts w:cs="Times New Roman"/>
          <w:bCs/>
          <w:szCs w:val="24"/>
        </w:rPr>
        <w:t>”</w:t>
      </w:r>
      <w:r w:rsidR="00967785">
        <w:rPr>
          <w:rStyle w:val="FootnoteReference"/>
          <w:rFonts w:cs="Times New Roman"/>
          <w:bCs/>
          <w:szCs w:val="24"/>
        </w:rPr>
        <w:footnoteReference w:id="22"/>
      </w:r>
      <w:r w:rsidR="00967785">
        <w:rPr>
          <w:rFonts w:cs="Times New Roman"/>
          <w:bCs/>
          <w:szCs w:val="24"/>
        </w:rPr>
        <w:t xml:space="preserve"> However, Staff disagrees in the types of additional incentives that may be authorized by the Commission. Specifically, </w:t>
      </w:r>
      <w:r w:rsidR="0097478C">
        <w:rPr>
          <w:rFonts w:cs="Times New Roman"/>
          <w:bCs/>
          <w:szCs w:val="24"/>
        </w:rPr>
        <w:t>based on the ALJs’ conclusion that a total imposition of the costs on participating customers is not reasonable,</w:t>
      </w:r>
      <w:r w:rsidR="0097478C">
        <w:rPr>
          <w:rStyle w:val="FootnoteReference"/>
          <w:rFonts w:cs="Times New Roman"/>
          <w:bCs/>
          <w:szCs w:val="24"/>
        </w:rPr>
        <w:footnoteReference w:id="23"/>
      </w:r>
      <w:r w:rsidR="0097478C">
        <w:rPr>
          <w:rFonts w:cs="Times New Roman"/>
          <w:bCs/>
          <w:szCs w:val="24"/>
        </w:rPr>
        <w:t xml:space="preserve"> </w:t>
      </w:r>
      <w:r w:rsidR="00967785">
        <w:rPr>
          <w:rFonts w:cs="Times New Roman"/>
          <w:bCs/>
          <w:szCs w:val="24"/>
        </w:rPr>
        <w:t xml:space="preserve">Staff understands the incentives in this proceeding to which the ALJs are referring are the ability for EPE to spread the costs of the EV Smart Rewards Pilot Program </w:t>
      </w:r>
      <w:r w:rsidR="0097478C">
        <w:rPr>
          <w:rFonts w:cs="Times New Roman"/>
          <w:bCs/>
          <w:szCs w:val="24"/>
        </w:rPr>
        <w:t>to non-participating customers.</w:t>
      </w:r>
      <w:r w:rsidR="0097478C">
        <w:rPr>
          <w:rStyle w:val="FootnoteReference"/>
          <w:rFonts w:cs="Times New Roman"/>
          <w:bCs/>
          <w:szCs w:val="24"/>
        </w:rPr>
        <w:footnoteReference w:id="24"/>
      </w:r>
      <w:r w:rsidR="0097478C">
        <w:rPr>
          <w:rFonts w:cs="Times New Roman"/>
          <w:bCs/>
          <w:szCs w:val="24"/>
        </w:rPr>
        <w:t xml:space="preserve"> </w:t>
      </w:r>
    </w:p>
    <w:p w14:paraId="18726B6C" w14:textId="0BB2C55A" w:rsidR="00AD3C05" w:rsidRDefault="0097478C" w:rsidP="00B5220C">
      <w:pPr>
        <w:pStyle w:val="ListParagraph"/>
        <w:ind w:firstLine="720"/>
        <w:jc w:val="both"/>
        <w:rPr>
          <w:rFonts w:cs="Times New Roman"/>
          <w:bCs/>
          <w:szCs w:val="24"/>
        </w:rPr>
      </w:pPr>
      <w:r>
        <w:rPr>
          <w:rFonts w:cs="Times New Roman"/>
          <w:bCs/>
          <w:szCs w:val="24"/>
        </w:rPr>
        <w:t>Notwithstanding the fact that the ALJs ultimately recommended that such a determination as from whom EPE may recover costs should be deferred to a future rate proceeding,</w:t>
      </w:r>
      <w:r>
        <w:rPr>
          <w:rStyle w:val="FootnoteReference"/>
          <w:rFonts w:cs="Times New Roman"/>
          <w:bCs/>
          <w:szCs w:val="24"/>
        </w:rPr>
        <w:footnoteReference w:id="25"/>
      </w:r>
      <w:r>
        <w:rPr>
          <w:rFonts w:cs="Times New Roman"/>
          <w:bCs/>
          <w:szCs w:val="24"/>
        </w:rPr>
        <w:t xml:space="preserve"> Staff recommends that the “additional incentives” under PURA </w:t>
      </w:r>
      <w:r w:rsidRPr="00435CA7">
        <w:rPr>
          <w:rFonts w:cs="Times New Roman"/>
          <w:bCs/>
          <w:szCs w:val="24"/>
        </w:rPr>
        <w:t>§</w:t>
      </w:r>
      <w:r>
        <w:rPr>
          <w:rFonts w:cs="Times New Roman"/>
          <w:bCs/>
          <w:szCs w:val="24"/>
        </w:rPr>
        <w:t xml:space="preserve"> 36.204 are more akin to authorizing an electric utility to recover </w:t>
      </w:r>
      <w:r w:rsidR="00200BBF">
        <w:rPr>
          <w:rFonts w:cs="Times New Roman"/>
          <w:bCs/>
          <w:szCs w:val="24"/>
        </w:rPr>
        <w:t xml:space="preserve">additional costs </w:t>
      </w:r>
      <w:r w:rsidR="00BC7A0E">
        <w:rPr>
          <w:rFonts w:cs="Times New Roman"/>
          <w:bCs/>
          <w:szCs w:val="24"/>
        </w:rPr>
        <w:t xml:space="preserve">that are </w:t>
      </w:r>
      <w:r w:rsidR="00200BBF">
        <w:rPr>
          <w:rFonts w:cs="Times New Roman"/>
          <w:bCs/>
          <w:szCs w:val="24"/>
        </w:rPr>
        <w:t>not necessary to implement a load management program</w:t>
      </w:r>
      <w:r w:rsidR="00AC2F93">
        <w:rPr>
          <w:rFonts w:cs="Times New Roman"/>
          <w:bCs/>
          <w:szCs w:val="24"/>
        </w:rPr>
        <w:t>, but that are authorized to incentivize</w:t>
      </w:r>
      <w:r w:rsidR="00DA74EB">
        <w:rPr>
          <w:rFonts w:cs="Times New Roman"/>
          <w:bCs/>
          <w:szCs w:val="24"/>
        </w:rPr>
        <w:t xml:space="preserve"> an electric utility to implement such a load management program</w:t>
      </w:r>
      <w:r w:rsidR="00200BBF">
        <w:rPr>
          <w:rFonts w:cs="Times New Roman"/>
          <w:bCs/>
          <w:szCs w:val="24"/>
        </w:rPr>
        <w:t xml:space="preserve">. As an example, Staff notes that the Legislature established goals for energy efficiency under PURA </w:t>
      </w:r>
      <w:r w:rsidR="00200BBF" w:rsidRPr="00435CA7">
        <w:rPr>
          <w:rFonts w:cs="Times New Roman"/>
          <w:bCs/>
          <w:szCs w:val="24"/>
        </w:rPr>
        <w:t>§</w:t>
      </w:r>
      <w:r w:rsidR="00200BBF">
        <w:rPr>
          <w:rFonts w:cs="Times New Roman"/>
          <w:bCs/>
          <w:szCs w:val="24"/>
        </w:rPr>
        <w:t xml:space="preserve"> 39.905, which the Legislature directed the Commission to adopt rules to establish 1) an energy efficiency cost recovery factor </w:t>
      </w:r>
      <w:r w:rsidR="007170B2">
        <w:rPr>
          <w:rFonts w:cs="Times New Roman"/>
          <w:bCs/>
          <w:szCs w:val="24"/>
        </w:rPr>
        <w:t xml:space="preserve">(EECRF) </w:t>
      </w:r>
      <w:r w:rsidR="00200BBF">
        <w:rPr>
          <w:rFonts w:cs="Times New Roman"/>
          <w:bCs/>
          <w:szCs w:val="24"/>
        </w:rPr>
        <w:t xml:space="preserve">to ensure timely recovery of reasonable costs, pursuant to PURA </w:t>
      </w:r>
      <w:r w:rsidR="00200BBF" w:rsidRPr="00435CA7">
        <w:rPr>
          <w:rFonts w:cs="Times New Roman"/>
          <w:bCs/>
          <w:szCs w:val="24"/>
        </w:rPr>
        <w:t>§</w:t>
      </w:r>
      <w:r w:rsidR="00200BBF">
        <w:rPr>
          <w:rFonts w:cs="Times New Roman"/>
          <w:bCs/>
          <w:szCs w:val="24"/>
        </w:rPr>
        <w:t xml:space="preserve"> 36.204, and 2) incentives under PURA </w:t>
      </w:r>
      <w:r w:rsidR="00200BBF" w:rsidRPr="00435CA7">
        <w:rPr>
          <w:rFonts w:cs="Times New Roman"/>
          <w:bCs/>
          <w:szCs w:val="24"/>
        </w:rPr>
        <w:t>§</w:t>
      </w:r>
      <w:r w:rsidR="00200BBF">
        <w:rPr>
          <w:rFonts w:cs="Times New Roman"/>
          <w:bCs/>
          <w:szCs w:val="24"/>
        </w:rPr>
        <w:t> 36.204 to reward utilities administering energy efficiency programs that exceed minimum goals.</w:t>
      </w:r>
      <w:r w:rsidR="00200BBF">
        <w:rPr>
          <w:rStyle w:val="FootnoteReference"/>
          <w:rFonts w:cs="Times New Roman"/>
          <w:bCs/>
          <w:szCs w:val="24"/>
        </w:rPr>
        <w:footnoteReference w:id="26"/>
      </w:r>
      <w:r w:rsidR="00200BBF">
        <w:rPr>
          <w:rFonts w:cs="Times New Roman"/>
          <w:bCs/>
          <w:szCs w:val="24"/>
        </w:rPr>
        <w:t xml:space="preserve"> </w:t>
      </w:r>
    </w:p>
    <w:p w14:paraId="0A02BB7E" w14:textId="328A68AE" w:rsidR="00185613" w:rsidRDefault="00200BBF" w:rsidP="00B5220C">
      <w:pPr>
        <w:pStyle w:val="ListParagraph"/>
        <w:ind w:firstLine="720"/>
        <w:jc w:val="both"/>
        <w:rPr>
          <w:rFonts w:cs="Times New Roman"/>
          <w:bCs/>
          <w:szCs w:val="24"/>
        </w:rPr>
      </w:pPr>
      <w:r>
        <w:rPr>
          <w:rFonts w:cs="Times New Roman"/>
          <w:bCs/>
          <w:szCs w:val="24"/>
        </w:rPr>
        <w:lastRenderedPageBreak/>
        <w:t>Pursuant to th</w:t>
      </w:r>
      <w:r w:rsidR="007D65AE">
        <w:rPr>
          <w:rFonts w:cs="Times New Roman"/>
          <w:bCs/>
          <w:szCs w:val="24"/>
        </w:rPr>
        <w:t>at</w:t>
      </w:r>
      <w:r>
        <w:rPr>
          <w:rFonts w:cs="Times New Roman"/>
          <w:bCs/>
          <w:szCs w:val="24"/>
        </w:rPr>
        <w:t xml:space="preserve"> directive,</w:t>
      </w:r>
      <w:r w:rsidR="00AD3C05">
        <w:rPr>
          <w:rFonts w:cs="Times New Roman"/>
          <w:bCs/>
          <w:szCs w:val="24"/>
        </w:rPr>
        <w:t xml:space="preserve"> the Commission has interpreted that a performance bonus, currently under 16 Texas Administrative Code (TAC) </w:t>
      </w:r>
      <w:r w:rsidR="00AD3C05" w:rsidRPr="00435CA7">
        <w:rPr>
          <w:rFonts w:cs="Times New Roman"/>
          <w:bCs/>
          <w:szCs w:val="24"/>
        </w:rPr>
        <w:t>§</w:t>
      </w:r>
      <w:r w:rsidR="00AD3C05">
        <w:rPr>
          <w:rFonts w:cs="Times New Roman"/>
          <w:bCs/>
          <w:szCs w:val="24"/>
        </w:rPr>
        <w:t xml:space="preserve"> 25.182(e), is the type of incentive </w:t>
      </w:r>
      <w:r w:rsidR="00642C44">
        <w:rPr>
          <w:rFonts w:cs="Times New Roman"/>
          <w:bCs/>
          <w:szCs w:val="24"/>
        </w:rPr>
        <w:t xml:space="preserve">under </w:t>
      </w:r>
      <w:r w:rsidR="00AD3C05">
        <w:rPr>
          <w:rFonts w:cs="Times New Roman"/>
          <w:bCs/>
          <w:szCs w:val="24"/>
        </w:rPr>
        <w:t xml:space="preserve">PURA </w:t>
      </w:r>
      <w:r w:rsidR="00AD3C05" w:rsidRPr="00435CA7">
        <w:rPr>
          <w:rFonts w:cs="Times New Roman"/>
          <w:bCs/>
          <w:szCs w:val="24"/>
        </w:rPr>
        <w:t>§</w:t>
      </w:r>
      <w:r w:rsidR="00AD3C05">
        <w:rPr>
          <w:rFonts w:cs="Times New Roman"/>
          <w:bCs/>
          <w:szCs w:val="24"/>
        </w:rPr>
        <w:t> 39.905(b)(2)</w:t>
      </w:r>
      <w:r w:rsidR="00642C44">
        <w:rPr>
          <w:rFonts w:cs="Times New Roman"/>
          <w:bCs/>
          <w:szCs w:val="24"/>
        </w:rPr>
        <w:t xml:space="preserve"> that the Legislature intended</w:t>
      </w:r>
      <w:r w:rsidR="00AD3C05">
        <w:rPr>
          <w:rFonts w:cs="Times New Roman"/>
          <w:bCs/>
          <w:szCs w:val="24"/>
        </w:rPr>
        <w:t xml:space="preserve"> for </w:t>
      </w:r>
      <w:r w:rsidR="00642C44">
        <w:rPr>
          <w:rFonts w:cs="Times New Roman"/>
          <w:bCs/>
          <w:szCs w:val="24"/>
        </w:rPr>
        <w:t>the Commission to establish</w:t>
      </w:r>
      <w:r w:rsidR="0025232B">
        <w:rPr>
          <w:rFonts w:cs="Times New Roman"/>
          <w:bCs/>
          <w:szCs w:val="24"/>
        </w:rPr>
        <w:t>,</w:t>
      </w:r>
      <w:r w:rsidR="00642C44">
        <w:rPr>
          <w:rFonts w:cs="Times New Roman"/>
          <w:bCs/>
          <w:szCs w:val="24"/>
        </w:rPr>
        <w:t xml:space="preserve"> pursuant to PURA </w:t>
      </w:r>
      <w:r w:rsidR="00642C44" w:rsidRPr="00435CA7">
        <w:rPr>
          <w:rFonts w:cs="Times New Roman"/>
          <w:bCs/>
          <w:szCs w:val="24"/>
        </w:rPr>
        <w:t>§</w:t>
      </w:r>
      <w:r w:rsidR="00642C44">
        <w:rPr>
          <w:rFonts w:cs="Times New Roman"/>
          <w:bCs/>
          <w:szCs w:val="24"/>
        </w:rPr>
        <w:t xml:space="preserve"> 36.204</w:t>
      </w:r>
      <w:r w:rsidR="0025232B">
        <w:rPr>
          <w:rFonts w:cs="Times New Roman"/>
          <w:bCs/>
          <w:szCs w:val="24"/>
        </w:rPr>
        <w:t>,</w:t>
      </w:r>
      <w:r w:rsidR="00642C44">
        <w:rPr>
          <w:rFonts w:cs="Times New Roman"/>
          <w:bCs/>
          <w:szCs w:val="24"/>
        </w:rPr>
        <w:t xml:space="preserve"> to reward utilities that </w:t>
      </w:r>
      <w:r w:rsidR="00AD3C05">
        <w:rPr>
          <w:rFonts w:cs="Times New Roman"/>
          <w:bCs/>
          <w:szCs w:val="24"/>
        </w:rPr>
        <w:t>exceed the statutory energy efficiency goals.</w:t>
      </w:r>
      <w:r w:rsidR="00AD3C05">
        <w:rPr>
          <w:rStyle w:val="FootnoteReference"/>
          <w:rFonts w:cs="Times New Roman"/>
          <w:bCs/>
          <w:szCs w:val="24"/>
        </w:rPr>
        <w:footnoteReference w:id="27"/>
      </w:r>
      <w:r w:rsidR="00AD3C05">
        <w:rPr>
          <w:rFonts w:cs="Times New Roman"/>
          <w:bCs/>
          <w:szCs w:val="24"/>
        </w:rPr>
        <w:t xml:space="preserve"> </w:t>
      </w:r>
      <w:r w:rsidR="00BF7C1C">
        <w:rPr>
          <w:rFonts w:cs="Times New Roman"/>
          <w:bCs/>
          <w:szCs w:val="24"/>
        </w:rPr>
        <w:t xml:space="preserve">Accordingly, </w:t>
      </w:r>
      <w:r w:rsidR="004E0528">
        <w:rPr>
          <w:rFonts w:cs="Times New Roman"/>
          <w:bCs/>
          <w:szCs w:val="24"/>
        </w:rPr>
        <w:t>the incentive must be something that can be recovered by an electric utility</w:t>
      </w:r>
      <w:r w:rsidR="00642C44">
        <w:rPr>
          <w:rFonts w:cs="Times New Roman"/>
          <w:bCs/>
          <w:szCs w:val="24"/>
        </w:rPr>
        <w:t xml:space="preserve"> that goes beyond the reasonable costs associated with load management</w:t>
      </w:r>
      <w:r w:rsidR="004E0528">
        <w:rPr>
          <w:rFonts w:cs="Times New Roman"/>
          <w:bCs/>
          <w:szCs w:val="24"/>
        </w:rPr>
        <w:t xml:space="preserve">. In this circumstance, however, EPE will </w:t>
      </w:r>
      <w:r w:rsidR="00642C44">
        <w:rPr>
          <w:rFonts w:cs="Times New Roman"/>
          <w:bCs/>
          <w:szCs w:val="24"/>
        </w:rPr>
        <w:t xml:space="preserve">not </w:t>
      </w:r>
      <w:r w:rsidR="004E0528">
        <w:rPr>
          <w:rFonts w:cs="Times New Roman"/>
          <w:bCs/>
          <w:szCs w:val="24"/>
        </w:rPr>
        <w:t xml:space="preserve">be able to recover </w:t>
      </w:r>
      <w:r w:rsidR="00642C44">
        <w:rPr>
          <w:rFonts w:cs="Times New Roman"/>
          <w:bCs/>
          <w:szCs w:val="24"/>
        </w:rPr>
        <w:t>more than the reasonable costs associated with the EV Smart Rewards Pilot Program</w:t>
      </w:r>
      <w:r w:rsidR="004E0528">
        <w:rPr>
          <w:rFonts w:cs="Times New Roman"/>
          <w:bCs/>
          <w:szCs w:val="24"/>
        </w:rPr>
        <w:t xml:space="preserve">. As such, if the Commission were to approve the EV Smart Rewards Pilot Program and allow EPE to recover costs from non-participating customers, such approval would not be authorizing additional incentives for load management under PURA </w:t>
      </w:r>
      <w:r w:rsidR="004E0528" w:rsidRPr="00435CA7">
        <w:rPr>
          <w:rFonts w:cs="Times New Roman"/>
          <w:bCs/>
          <w:szCs w:val="24"/>
        </w:rPr>
        <w:t>§</w:t>
      </w:r>
      <w:r w:rsidR="004E0528">
        <w:rPr>
          <w:rFonts w:cs="Times New Roman"/>
          <w:bCs/>
          <w:szCs w:val="24"/>
        </w:rPr>
        <w:t xml:space="preserve"> 36.204(2).</w:t>
      </w:r>
    </w:p>
    <w:p w14:paraId="0E085F70" w14:textId="1AE30920" w:rsidR="00F533CA" w:rsidRDefault="004E0528" w:rsidP="00B5220C">
      <w:pPr>
        <w:pStyle w:val="ListParagraph"/>
        <w:ind w:firstLine="720"/>
        <w:jc w:val="both"/>
        <w:rPr>
          <w:rFonts w:cs="Times New Roman"/>
          <w:bCs/>
          <w:szCs w:val="24"/>
        </w:rPr>
      </w:pPr>
      <w:r>
        <w:rPr>
          <w:rFonts w:cs="Times New Roman"/>
          <w:bCs/>
          <w:szCs w:val="24"/>
        </w:rPr>
        <w:t xml:space="preserve">Furthermore, Staff would also note that </w:t>
      </w:r>
      <w:r w:rsidR="00DC6DC1">
        <w:rPr>
          <w:rFonts w:cs="Times New Roman"/>
          <w:bCs/>
          <w:szCs w:val="24"/>
        </w:rPr>
        <w:t xml:space="preserve">the Legislature also directed </w:t>
      </w:r>
      <w:r w:rsidR="005B7F8B">
        <w:rPr>
          <w:rFonts w:cs="Times New Roman"/>
          <w:bCs/>
          <w:szCs w:val="24"/>
        </w:rPr>
        <w:t>the Commission</w:t>
      </w:r>
      <w:r w:rsidR="00DC6DC1">
        <w:rPr>
          <w:rFonts w:cs="Times New Roman"/>
          <w:bCs/>
          <w:szCs w:val="24"/>
        </w:rPr>
        <w:t xml:space="preserve"> to</w:t>
      </w:r>
      <w:r w:rsidR="005B7F8B">
        <w:rPr>
          <w:rFonts w:cs="Times New Roman"/>
          <w:bCs/>
          <w:szCs w:val="24"/>
        </w:rPr>
        <w:t xml:space="preserve"> ensure that the costs and incentives associated with the energy efficiency programs are borne by the customer classes that receive the services under the program</w:t>
      </w:r>
      <w:r w:rsidR="00DC6DC1">
        <w:rPr>
          <w:rFonts w:cs="Times New Roman"/>
          <w:bCs/>
          <w:szCs w:val="24"/>
        </w:rPr>
        <w:t>s.</w:t>
      </w:r>
      <w:r w:rsidR="00DC6DC1">
        <w:rPr>
          <w:rStyle w:val="FootnoteReference"/>
          <w:rFonts w:cs="Times New Roman"/>
          <w:bCs/>
          <w:szCs w:val="24"/>
        </w:rPr>
        <w:footnoteReference w:id="28"/>
      </w:r>
      <w:r w:rsidR="00DC6DC1">
        <w:rPr>
          <w:rFonts w:cs="Times New Roman"/>
          <w:bCs/>
          <w:szCs w:val="24"/>
        </w:rPr>
        <w:t xml:space="preserve"> Pursuant to the directive, 16 TAC </w:t>
      </w:r>
      <w:r w:rsidR="00DC6DC1" w:rsidRPr="00435CA7">
        <w:rPr>
          <w:rFonts w:cs="Times New Roman"/>
          <w:bCs/>
          <w:szCs w:val="24"/>
        </w:rPr>
        <w:t>§</w:t>
      </w:r>
      <w:r w:rsidR="00DC6DC1">
        <w:rPr>
          <w:rFonts w:cs="Times New Roman"/>
          <w:bCs/>
          <w:szCs w:val="24"/>
        </w:rPr>
        <w:t xml:space="preserve"> 25.182(d)</w:t>
      </w:r>
      <w:r w:rsidR="00EC1F51">
        <w:rPr>
          <w:rFonts w:cs="Times New Roman"/>
          <w:bCs/>
          <w:szCs w:val="24"/>
        </w:rPr>
        <w:t>, related to EECRF cost recovery</w:t>
      </w:r>
      <w:r w:rsidR="008750F4">
        <w:rPr>
          <w:rFonts w:cs="Times New Roman"/>
          <w:bCs/>
          <w:szCs w:val="24"/>
        </w:rPr>
        <w:t>,</w:t>
      </w:r>
      <w:r w:rsidR="00DC6DC1">
        <w:rPr>
          <w:rFonts w:cs="Times New Roman"/>
          <w:bCs/>
          <w:szCs w:val="24"/>
        </w:rPr>
        <w:t xml:space="preserve"> requires </w:t>
      </w:r>
      <w:r w:rsidR="007170B2">
        <w:rPr>
          <w:rFonts w:cs="Times New Roman"/>
          <w:bCs/>
          <w:szCs w:val="24"/>
        </w:rPr>
        <w:t>an EECRF to directly assign costs to the participating rate classes to the maximum extent reasonably possible.</w:t>
      </w:r>
      <w:r w:rsidR="007170B2">
        <w:rPr>
          <w:rStyle w:val="FootnoteReference"/>
          <w:rFonts w:cs="Times New Roman"/>
          <w:bCs/>
          <w:szCs w:val="24"/>
        </w:rPr>
        <w:footnoteReference w:id="29"/>
      </w:r>
      <w:r w:rsidR="007170B2">
        <w:rPr>
          <w:rFonts w:cs="Times New Roman"/>
          <w:bCs/>
          <w:szCs w:val="24"/>
        </w:rPr>
        <w:t xml:space="preserve"> Additionally, in contrast to the ALJs’ discussion of the system-wide benefits that may be received through the EV Smart Rewards Pilot Program,</w:t>
      </w:r>
      <w:r w:rsidR="007170B2">
        <w:rPr>
          <w:rStyle w:val="FootnoteReference"/>
          <w:rFonts w:cs="Times New Roman"/>
          <w:bCs/>
          <w:szCs w:val="24"/>
        </w:rPr>
        <w:footnoteReference w:id="30"/>
      </w:r>
      <w:r w:rsidR="007170B2">
        <w:rPr>
          <w:rFonts w:cs="Times New Roman"/>
          <w:bCs/>
          <w:szCs w:val="24"/>
        </w:rPr>
        <w:t xml:space="preserve"> that such system-wide benefits may be realized does not mean that EPE should not adhere to cost causation principles in terms of imposing the costs o</w:t>
      </w:r>
      <w:r w:rsidR="00EC1F51">
        <w:rPr>
          <w:rFonts w:cs="Times New Roman"/>
          <w:bCs/>
          <w:szCs w:val="24"/>
        </w:rPr>
        <w:t>f</w:t>
      </w:r>
      <w:r w:rsidR="007170B2">
        <w:rPr>
          <w:rFonts w:cs="Times New Roman"/>
          <w:bCs/>
          <w:szCs w:val="24"/>
        </w:rPr>
        <w:t xml:space="preserve"> the program on participating customers or at least on the class of </w:t>
      </w:r>
      <w:r w:rsidR="00EC1F51">
        <w:rPr>
          <w:rFonts w:cs="Times New Roman"/>
          <w:bCs/>
          <w:szCs w:val="24"/>
        </w:rPr>
        <w:t xml:space="preserve">eligible </w:t>
      </w:r>
      <w:r w:rsidR="007170B2">
        <w:rPr>
          <w:rFonts w:cs="Times New Roman"/>
          <w:bCs/>
          <w:szCs w:val="24"/>
        </w:rPr>
        <w:t>customers.</w:t>
      </w:r>
      <w:r w:rsidR="00EC1F51">
        <w:rPr>
          <w:rFonts w:cs="Times New Roman"/>
          <w:bCs/>
          <w:szCs w:val="24"/>
        </w:rPr>
        <w:t xml:space="preserve"> Specifically, despite the same arguments made by the utilities regarding system-wide benefits of energy efficiency programs, the Commission stated the rule should require direct assignment and allocations of costs based on cost causation and not receipt of benefits.</w:t>
      </w:r>
      <w:r w:rsidR="00EC1F51">
        <w:rPr>
          <w:rStyle w:val="FootnoteReference"/>
          <w:rFonts w:cs="Times New Roman"/>
          <w:bCs/>
          <w:szCs w:val="24"/>
        </w:rPr>
        <w:footnoteReference w:id="31"/>
      </w:r>
      <w:r w:rsidR="00EC1F51">
        <w:rPr>
          <w:rFonts w:cs="Times New Roman"/>
          <w:bCs/>
          <w:szCs w:val="24"/>
        </w:rPr>
        <w:t xml:space="preserve"> </w:t>
      </w:r>
    </w:p>
    <w:p w14:paraId="25483B84" w14:textId="2F36E7EF" w:rsidR="004E0528" w:rsidRDefault="00F533CA" w:rsidP="00B5220C">
      <w:pPr>
        <w:pStyle w:val="ListParagraph"/>
        <w:ind w:firstLine="720"/>
        <w:jc w:val="both"/>
        <w:rPr>
          <w:rFonts w:cs="Times New Roman"/>
          <w:bCs/>
          <w:szCs w:val="24"/>
        </w:rPr>
      </w:pPr>
      <w:r>
        <w:rPr>
          <w:rFonts w:cs="Times New Roman"/>
          <w:bCs/>
          <w:szCs w:val="24"/>
        </w:rPr>
        <w:t xml:space="preserve">This conclusion about the direct assignment and allocation of costs to the rate classes in the context of the energy efficiency programs should be informative in whether non-participating </w:t>
      </w:r>
      <w:r>
        <w:rPr>
          <w:rFonts w:cs="Times New Roman"/>
          <w:bCs/>
          <w:szCs w:val="24"/>
        </w:rPr>
        <w:lastRenderedPageBreak/>
        <w:t xml:space="preserve">customers should be included in the assignment of costs related to the EV Smart Rewards Pilot Program. Specifically, because the program is only available to residential customers, the residential rate class is the only class that will have eligible customers, such that costs </w:t>
      </w:r>
      <w:r w:rsidR="008750F4">
        <w:rPr>
          <w:rFonts w:cs="Times New Roman"/>
          <w:bCs/>
          <w:szCs w:val="24"/>
        </w:rPr>
        <w:t xml:space="preserve">at least </w:t>
      </w:r>
      <w:r>
        <w:rPr>
          <w:rFonts w:cs="Times New Roman"/>
          <w:bCs/>
          <w:szCs w:val="24"/>
        </w:rPr>
        <w:t xml:space="preserve">should not be spread amongst the other classes. </w:t>
      </w:r>
      <w:r w:rsidR="007833CB">
        <w:rPr>
          <w:rFonts w:cs="Times New Roman"/>
          <w:bCs/>
          <w:szCs w:val="24"/>
        </w:rPr>
        <w:t>Additionally</w:t>
      </w:r>
      <w:r>
        <w:rPr>
          <w:rFonts w:cs="Times New Roman"/>
          <w:bCs/>
          <w:szCs w:val="24"/>
        </w:rPr>
        <w:t xml:space="preserve">, 16 TAC </w:t>
      </w:r>
      <w:r w:rsidRPr="00435CA7">
        <w:rPr>
          <w:rFonts w:cs="Times New Roman"/>
          <w:bCs/>
          <w:szCs w:val="24"/>
        </w:rPr>
        <w:t>§</w:t>
      </w:r>
      <w:r>
        <w:rPr>
          <w:rFonts w:cs="Times New Roman"/>
          <w:bCs/>
          <w:szCs w:val="24"/>
        </w:rPr>
        <w:t> 25.182(c)(2) provides further guidance that rate classes and the direct assignment of costs to participating rate classes do not include non-eligible customers within a particular rate class.</w:t>
      </w:r>
      <w:r>
        <w:rPr>
          <w:rStyle w:val="FootnoteReference"/>
          <w:rFonts w:cs="Times New Roman"/>
          <w:bCs/>
          <w:szCs w:val="24"/>
        </w:rPr>
        <w:footnoteReference w:id="32"/>
      </w:r>
      <w:r w:rsidR="00010A53">
        <w:rPr>
          <w:rFonts w:cs="Times New Roman"/>
          <w:bCs/>
          <w:szCs w:val="24"/>
        </w:rPr>
        <w:t xml:space="preserve"> Accordingly, within the residential rate class, the only eligible customers would specifically be EV owners</w:t>
      </w:r>
      <w:r w:rsidR="005C4544">
        <w:rPr>
          <w:rFonts w:cs="Times New Roman"/>
          <w:bCs/>
          <w:szCs w:val="24"/>
        </w:rPr>
        <w:t xml:space="preserve">, such that costs should not be </w:t>
      </w:r>
      <w:r w:rsidR="00055B9A">
        <w:rPr>
          <w:rFonts w:cs="Times New Roman"/>
          <w:bCs/>
          <w:szCs w:val="24"/>
        </w:rPr>
        <w:t>shifted</w:t>
      </w:r>
      <w:r w:rsidR="00B45321">
        <w:rPr>
          <w:rFonts w:cs="Times New Roman"/>
          <w:bCs/>
          <w:szCs w:val="24"/>
        </w:rPr>
        <w:t xml:space="preserve"> onto non-EV owners</w:t>
      </w:r>
      <w:r w:rsidR="00F40886">
        <w:rPr>
          <w:rFonts w:cs="Times New Roman"/>
          <w:bCs/>
          <w:szCs w:val="24"/>
        </w:rPr>
        <w:t>, who are the non-eligible customers</w:t>
      </w:r>
      <w:r w:rsidR="00010A53">
        <w:rPr>
          <w:rFonts w:cs="Times New Roman"/>
          <w:bCs/>
          <w:szCs w:val="24"/>
        </w:rPr>
        <w:t>.</w:t>
      </w:r>
      <w:r w:rsidR="00F97AC5">
        <w:rPr>
          <w:rFonts w:cs="Times New Roman"/>
          <w:bCs/>
          <w:szCs w:val="24"/>
        </w:rPr>
        <w:t xml:space="preserve"> </w:t>
      </w:r>
    </w:p>
    <w:p w14:paraId="6BA7F1A8" w14:textId="651603B7" w:rsidR="0097478C" w:rsidRDefault="00BE597C" w:rsidP="00B5220C">
      <w:pPr>
        <w:pStyle w:val="ListParagraph"/>
        <w:ind w:firstLine="720"/>
        <w:jc w:val="both"/>
        <w:rPr>
          <w:rFonts w:cs="Times New Roman"/>
          <w:bCs/>
          <w:szCs w:val="24"/>
        </w:rPr>
      </w:pPr>
      <w:r>
        <w:t xml:space="preserve">Aside from Staff’s exceptions related to the analysis of PURA </w:t>
      </w:r>
      <w:r w:rsidRPr="00435CA7">
        <w:rPr>
          <w:rFonts w:cs="Times New Roman"/>
          <w:bCs/>
          <w:szCs w:val="24"/>
        </w:rPr>
        <w:t>§</w:t>
      </w:r>
      <w:r>
        <w:rPr>
          <w:rFonts w:cs="Times New Roman"/>
          <w:bCs/>
          <w:szCs w:val="24"/>
        </w:rPr>
        <w:t xml:space="preserve"> 36.204 and cost recovery conditions, or lack thereof, </w:t>
      </w:r>
      <w:r>
        <w:t>Staff also excepts to the ALJs’ analysis that the EV Smart Rewards Pilot Program is not unreasonably discriminatory or preferential.</w:t>
      </w:r>
      <w:r>
        <w:rPr>
          <w:rStyle w:val="FootnoteReference"/>
        </w:rPr>
        <w:footnoteReference w:id="33"/>
      </w:r>
      <w:r w:rsidR="007C1CD8">
        <w:t xml:space="preserve"> </w:t>
      </w:r>
      <w:r>
        <w:t>Specifically, the ALJs seemingly focus on EPE’s argument that is it is reasonable to provide incentives only to eligible EV customers.</w:t>
      </w:r>
      <w:r>
        <w:rPr>
          <w:rStyle w:val="FootnoteReference"/>
        </w:rPr>
        <w:footnoteReference w:id="34"/>
      </w:r>
      <w:r>
        <w:t xml:space="preserve"> EPE</w:t>
      </w:r>
      <w:r w:rsidR="007F3CE9">
        <w:t xml:space="preserve"> </w:t>
      </w:r>
      <w:r>
        <w:t>and the ALJs</w:t>
      </w:r>
      <w:r w:rsidR="007F3CE9">
        <w:t>, however,</w:t>
      </w:r>
      <w:r>
        <w:t xml:space="preserve"> do not address Staff’s argument that there is not only discriminatory </w:t>
      </w:r>
      <w:r w:rsidR="00326034">
        <w:t xml:space="preserve">treatment </w:t>
      </w:r>
      <w:r w:rsidR="007F3CE9">
        <w:t xml:space="preserve">towards </w:t>
      </w:r>
      <w:r>
        <w:t xml:space="preserve">non-eligible customers, but also </w:t>
      </w:r>
      <w:r w:rsidR="007F3CE9">
        <w:t xml:space="preserve">towards </w:t>
      </w:r>
      <w:r>
        <w:t>eligible customer</w:t>
      </w:r>
      <w:r w:rsidR="007F3CE9">
        <w:t>s</w:t>
      </w:r>
      <w:r>
        <w:t xml:space="preserve"> that do not or are not able to enroll.</w:t>
      </w:r>
      <w:r w:rsidR="007C1CCF">
        <w:rPr>
          <w:rStyle w:val="FootnoteReference"/>
        </w:rPr>
        <w:footnoteReference w:id="35"/>
      </w:r>
      <w:r w:rsidR="007C1CD8">
        <w:t xml:space="preserve"> </w:t>
      </w:r>
      <w:r w:rsidR="00326034">
        <w:t xml:space="preserve">Specifically, the incentive payments represent special treatment for those enrolled in the program to </w:t>
      </w:r>
      <w:r w:rsidR="009939A5">
        <w:t xml:space="preserve">the </w:t>
      </w:r>
      <w:r w:rsidR="00326034">
        <w:t>disadvantage</w:t>
      </w:r>
      <w:r w:rsidR="009939A5">
        <w:t xml:space="preserve"> of</w:t>
      </w:r>
      <w:r w:rsidR="00326034">
        <w:t xml:space="preserve"> other customers that do not enroll, including </w:t>
      </w:r>
      <w:r w:rsidR="00326034">
        <w:rPr>
          <w:rFonts w:cs="Times New Roman"/>
          <w:bCs/>
          <w:szCs w:val="24"/>
        </w:rPr>
        <w:t>other eligible customers with similar EV usage but that are not enrolled.</w:t>
      </w:r>
      <w:r w:rsidR="00EC3122">
        <w:rPr>
          <w:rStyle w:val="FootnoteReference"/>
          <w:rFonts w:cs="Times New Roman"/>
          <w:bCs/>
          <w:szCs w:val="24"/>
        </w:rPr>
        <w:footnoteReference w:id="36"/>
      </w:r>
      <w:r w:rsidR="00326034">
        <w:t xml:space="preserve"> U</w:t>
      </w:r>
      <w:r w:rsidR="007C1CD8">
        <w:t xml:space="preserve">nlike PURA </w:t>
      </w:r>
      <w:r w:rsidR="007C1CD8" w:rsidRPr="00435CA7">
        <w:rPr>
          <w:rFonts w:cs="Times New Roman"/>
          <w:bCs/>
          <w:szCs w:val="24"/>
        </w:rPr>
        <w:t>§</w:t>
      </w:r>
      <w:r w:rsidR="007C1CD8">
        <w:rPr>
          <w:rFonts w:cs="Times New Roman"/>
          <w:bCs/>
          <w:szCs w:val="24"/>
        </w:rPr>
        <w:t xml:space="preserve"> 39.905,</w:t>
      </w:r>
      <w:r w:rsidR="007C1CD8">
        <w:rPr>
          <w:rStyle w:val="FootnoteReference"/>
          <w:rFonts w:cs="Times New Roman"/>
          <w:bCs/>
          <w:szCs w:val="24"/>
        </w:rPr>
        <w:footnoteReference w:id="37"/>
      </w:r>
      <w:r w:rsidR="007C1CD8">
        <w:rPr>
          <w:rFonts w:cs="Times New Roman"/>
          <w:bCs/>
          <w:szCs w:val="24"/>
        </w:rPr>
        <w:t xml:space="preserve"> there is not any statutory provision related to EV load management that controls over PURA </w:t>
      </w:r>
      <w:r w:rsidR="007C1CD8" w:rsidRPr="00435CA7">
        <w:rPr>
          <w:rFonts w:cs="Times New Roman"/>
          <w:bCs/>
          <w:szCs w:val="24"/>
        </w:rPr>
        <w:t>§</w:t>
      </w:r>
      <w:r w:rsidR="007C1CD8">
        <w:rPr>
          <w:rFonts w:cs="Times New Roman"/>
          <w:bCs/>
          <w:szCs w:val="24"/>
        </w:rPr>
        <w:t xml:space="preserve"> 36.003 and that would allow EPE to provide </w:t>
      </w:r>
      <w:r w:rsidR="00326034">
        <w:rPr>
          <w:rFonts w:cs="Times New Roman"/>
          <w:bCs/>
          <w:szCs w:val="24"/>
        </w:rPr>
        <w:t xml:space="preserve">this </w:t>
      </w:r>
      <w:r w:rsidR="007C1CD8">
        <w:rPr>
          <w:rFonts w:cs="Times New Roman"/>
          <w:bCs/>
          <w:szCs w:val="24"/>
        </w:rPr>
        <w:t xml:space="preserve">preferential </w:t>
      </w:r>
      <w:r w:rsidR="00326034">
        <w:rPr>
          <w:rFonts w:cs="Times New Roman"/>
          <w:bCs/>
          <w:szCs w:val="24"/>
        </w:rPr>
        <w:t xml:space="preserve">and discriminatory </w:t>
      </w:r>
      <w:r w:rsidR="007C1CD8">
        <w:rPr>
          <w:rFonts w:cs="Times New Roman"/>
          <w:bCs/>
          <w:szCs w:val="24"/>
        </w:rPr>
        <w:t xml:space="preserve">treatment. </w:t>
      </w:r>
    </w:p>
    <w:p w14:paraId="17A09075" w14:textId="10FA80E2" w:rsidR="00F15988" w:rsidRDefault="00C55A3E" w:rsidP="00205BEE">
      <w:pPr>
        <w:pStyle w:val="ListParagraph"/>
        <w:ind w:firstLine="720"/>
        <w:jc w:val="both"/>
        <w:rPr>
          <w:rFonts w:cs="Times New Roman"/>
          <w:bCs/>
          <w:szCs w:val="24"/>
        </w:rPr>
      </w:pPr>
      <w:r>
        <w:rPr>
          <w:rFonts w:cs="Times New Roman"/>
          <w:bCs/>
          <w:szCs w:val="24"/>
        </w:rPr>
        <w:t xml:space="preserve">Lastly, </w:t>
      </w:r>
      <w:r w:rsidR="005F5582">
        <w:rPr>
          <w:rFonts w:cs="Times New Roman"/>
          <w:bCs/>
          <w:szCs w:val="24"/>
        </w:rPr>
        <w:t xml:space="preserve">Staff </w:t>
      </w:r>
      <w:r w:rsidR="00205BEE">
        <w:rPr>
          <w:rFonts w:cs="Times New Roman"/>
          <w:bCs/>
          <w:szCs w:val="24"/>
        </w:rPr>
        <w:t xml:space="preserve">excepts to the ALJs’ conclusion that the incentives, at least at this time, do not need to be cost-based. Specifically, as stated in the PFD, because the purpose of the pilot program is </w:t>
      </w:r>
      <w:r w:rsidR="009939A5">
        <w:rPr>
          <w:rFonts w:cs="Times New Roman"/>
          <w:bCs/>
          <w:szCs w:val="24"/>
        </w:rPr>
        <w:t xml:space="preserve">to </w:t>
      </w:r>
      <w:r w:rsidR="00205BEE">
        <w:rPr>
          <w:rFonts w:cs="Times New Roman"/>
          <w:bCs/>
          <w:szCs w:val="24"/>
        </w:rPr>
        <w:t>obtain further information on the appropriate levels of incentives for this program, it is unreasonable to expect a direct correlation between savings and incentives.</w:t>
      </w:r>
      <w:r w:rsidR="00205BEE">
        <w:rPr>
          <w:rStyle w:val="FootnoteReference"/>
          <w:rFonts w:cs="Times New Roman"/>
          <w:bCs/>
          <w:szCs w:val="24"/>
        </w:rPr>
        <w:footnoteReference w:id="38"/>
      </w:r>
      <w:r w:rsidR="00205BEE">
        <w:rPr>
          <w:rFonts w:cs="Times New Roman"/>
          <w:bCs/>
          <w:szCs w:val="24"/>
        </w:rPr>
        <w:t xml:space="preserve"> However, as noted </w:t>
      </w:r>
      <w:r w:rsidR="00205BEE">
        <w:rPr>
          <w:rFonts w:cs="Times New Roman"/>
          <w:bCs/>
          <w:szCs w:val="24"/>
        </w:rPr>
        <w:lastRenderedPageBreak/>
        <w:t>by OPUC, that the incentives are for pilot program should not alleviate the responsibility for the incentives to be cost-based.</w:t>
      </w:r>
      <w:r w:rsidR="00205BEE">
        <w:rPr>
          <w:rStyle w:val="FootnoteReference"/>
          <w:rFonts w:cs="Times New Roman"/>
          <w:bCs/>
          <w:szCs w:val="24"/>
        </w:rPr>
        <w:footnoteReference w:id="39"/>
      </w:r>
      <w:r w:rsidR="00205BEE">
        <w:rPr>
          <w:rFonts w:cs="Times New Roman"/>
          <w:bCs/>
          <w:szCs w:val="24"/>
        </w:rPr>
        <w:t xml:space="preserve"> </w:t>
      </w:r>
      <w:r w:rsidR="00725CA9">
        <w:rPr>
          <w:rFonts w:cs="Times New Roman"/>
          <w:bCs/>
          <w:szCs w:val="24"/>
        </w:rPr>
        <w:t xml:space="preserve">Furthermore, that EPE based the incentive payments to participating customers merely on the range of incentives offered by other utilities under other similar programs does not mean such incentives in these other programs were </w:t>
      </w:r>
      <w:r w:rsidR="00B2296D">
        <w:rPr>
          <w:rFonts w:cs="Times New Roman"/>
          <w:bCs/>
          <w:szCs w:val="24"/>
        </w:rPr>
        <w:t xml:space="preserve">not </w:t>
      </w:r>
      <w:r w:rsidR="00725CA9">
        <w:rPr>
          <w:rFonts w:cs="Times New Roman"/>
          <w:bCs/>
          <w:szCs w:val="24"/>
        </w:rPr>
        <w:t>cost-based.</w:t>
      </w:r>
      <w:r w:rsidR="00725CA9">
        <w:rPr>
          <w:rStyle w:val="FootnoteReference"/>
          <w:rFonts w:cs="Times New Roman"/>
          <w:bCs/>
          <w:szCs w:val="24"/>
        </w:rPr>
        <w:footnoteReference w:id="40"/>
      </w:r>
      <w:r w:rsidR="00725CA9">
        <w:rPr>
          <w:rFonts w:cs="Times New Roman"/>
          <w:bCs/>
          <w:szCs w:val="24"/>
        </w:rPr>
        <w:t xml:space="preserve"> In fact, EPE did not even attempt to determine how </w:t>
      </w:r>
      <w:r w:rsidR="00B2296D">
        <w:rPr>
          <w:rFonts w:cs="Times New Roman"/>
          <w:bCs/>
          <w:szCs w:val="24"/>
        </w:rPr>
        <w:t xml:space="preserve">the </w:t>
      </w:r>
      <w:r w:rsidR="00725CA9">
        <w:rPr>
          <w:rFonts w:cs="Times New Roman"/>
          <w:bCs/>
          <w:szCs w:val="24"/>
        </w:rPr>
        <w:t>other incentives were established,</w:t>
      </w:r>
      <w:r w:rsidR="00725CA9">
        <w:rPr>
          <w:rStyle w:val="FootnoteReference"/>
          <w:rFonts w:cs="Times New Roman"/>
          <w:bCs/>
          <w:szCs w:val="24"/>
        </w:rPr>
        <w:footnoteReference w:id="41"/>
      </w:r>
      <w:r w:rsidR="00725CA9">
        <w:rPr>
          <w:rFonts w:cs="Times New Roman"/>
          <w:bCs/>
          <w:szCs w:val="24"/>
        </w:rPr>
        <w:t xml:space="preserve"> such that EPE has not sufficiently carried its burden to demonstrate that the incentive payments for </w:t>
      </w:r>
      <w:r w:rsidR="00633409">
        <w:rPr>
          <w:rFonts w:cs="Times New Roman"/>
          <w:bCs/>
          <w:szCs w:val="24"/>
        </w:rPr>
        <w:t xml:space="preserve">the </w:t>
      </w:r>
      <w:r w:rsidR="00725CA9">
        <w:rPr>
          <w:rFonts w:cs="Times New Roman"/>
          <w:bCs/>
          <w:szCs w:val="24"/>
        </w:rPr>
        <w:t xml:space="preserve">EV Smart Rewards Pilot Program were reasonable developed. </w:t>
      </w:r>
      <w:r w:rsidR="00B2296D">
        <w:rPr>
          <w:rFonts w:cs="Times New Roman"/>
          <w:bCs/>
          <w:szCs w:val="24"/>
        </w:rPr>
        <w:t>And in contrast to the ALJs’ finding that it is appropriate to set the incentives at levels the utility can reasonably expect to elicit desired behaviors,</w:t>
      </w:r>
      <w:r w:rsidR="00B2296D">
        <w:rPr>
          <w:rStyle w:val="FootnoteReference"/>
          <w:rFonts w:cs="Times New Roman"/>
          <w:bCs/>
          <w:szCs w:val="24"/>
        </w:rPr>
        <w:footnoteReference w:id="42"/>
      </w:r>
      <w:r w:rsidR="00B2296D">
        <w:rPr>
          <w:rFonts w:cs="Times New Roman"/>
          <w:bCs/>
          <w:szCs w:val="24"/>
        </w:rPr>
        <w:t xml:space="preserve"> the ability to reach participation goals is not dependent on the type and size of the incentives offered.</w:t>
      </w:r>
      <w:r w:rsidR="00B2296D">
        <w:rPr>
          <w:rStyle w:val="FootnoteReference"/>
          <w:rFonts w:cs="Times New Roman"/>
          <w:bCs/>
          <w:szCs w:val="24"/>
        </w:rPr>
        <w:footnoteReference w:id="43"/>
      </w:r>
      <w:r w:rsidR="00B2296D">
        <w:rPr>
          <w:rFonts w:cs="Times New Roman"/>
          <w:bCs/>
          <w:szCs w:val="24"/>
        </w:rPr>
        <w:t xml:space="preserve"> </w:t>
      </w:r>
    </w:p>
    <w:p w14:paraId="54CDE124" w14:textId="76899831" w:rsidR="007C1CD8" w:rsidRDefault="00205BEE" w:rsidP="00205BEE">
      <w:pPr>
        <w:pStyle w:val="ListParagraph"/>
        <w:ind w:firstLine="720"/>
        <w:jc w:val="both"/>
        <w:rPr>
          <w:rFonts w:cs="Times New Roman"/>
          <w:bCs/>
          <w:szCs w:val="24"/>
        </w:rPr>
      </w:pPr>
      <w:r>
        <w:rPr>
          <w:rFonts w:cs="Times New Roman"/>
          <w:bCs/>
          <w:szCs w:val="24"/>
        </w:rPr>
        <w:t>Overall</w:t>
      </w:r>
      <w:r w:rsidR="007C1CD8">
        <w:rPr>
          <w:rFonts w:cs="Times New Roman"/>
          <w:bCs/>
          <w:szCs w:val="24"/>
        </w:rPr>
        <w:t xml:space="preserve">, the preceding exceptions demonstrate that requiring EPE to establish a separate EV rate class would be more reasonable, and to a certain extent necessary, than approving the EV Smart Rewards Pilot Program in this proceeding. </w:t>
      </w:r>
    </w:p>
    <w:p w14:paraId="08D99DE8" w14:textId="77777777" w:rsidR="007F3CE9" w:rsidRPr="00A01316" w:rsidRDefault="007F3CE9" w:rsidP="00B5220C">
      <w:pPr>
        <w:pStyle w:val="ListParagraph"/>
        <w:ind w:firstLine="720"/>
        <w:jc w:val="both"/>
      </w:pPr>
    </w:p>
    <w:p w14:paraId="098EC82C" w14:textId="0C60F9F4" w:rsidR="00224148" w:rsidRDefault="00151BC4" w:rsidP="00745D0A">
      <w:pPr>
        <w:pStyle w:val="Heading2"/>
        <w:numPr>
          <w:ilvl w:val="0"/>
          <w:numId w:val="6"/>
        </w:numPr>
        <w:spacing w:after="0"/>
        <w:ind w:hanging="720"/>
        <w:jc w:val="left"/>
        <w:rPr>
          <w:b/>
          <w:bCs/>
          <w:szCs w:val="18"/>
        </w:rPr>
      </w:pPr>
      <w:bookmarkStart w:id="4" w:name="_Toc164298047"/>
      <w:r>
        <w:rPr>
          <w:b/>
          <w:bCs/>
          <w:szCs w:val="18"/>
        </w:rPr>
        <w:t>Whole House EV Pilot Incentive Credit Rider</w:t>
      </w:r>
      <w:bookmarkEnd w:id="4"/>
    </w:p>
    <w:p w14:paraId="19964C48" w14:textId="511DC20C" w:rsidR="00F226FB" w:rsidRDefault="000F7DAF" w:rsidP="00B5220C">
      <w:pPr>
        <w:pStyle w:val="ListParagraph"/>
        <w:ind w:firstLine="720"/>
        <w:jc w:val="both"/>
        <w:rPr>
          <w:rFonts w:cs="Times New Roman"/>
          <w:bCs/>
          <w:szCs w:val="24"/>
        </w:rPr>
      </w:pPr>
      <w:r>
        <w:t xml:space="preserve">As an initial matter, Staff excepts </w:t>
      </w:r>
      <w:r w:rsidR="00D740F9">
        <w:t xml:space="preserve">to </w:t>
      </w:r>
      <w:r>
        <w:t xml:space="preserve">the ALJs’ analysis of the WHEV Pilot Incentive Credit Rider under PURA </w:t>
      </w:r>
      <w:r w:rsidRPr="00435CA7">
        <w:rPr>
          <w:rFonts w:cs="Times New Roman"/>
          <w:bCs/>
          <w:szCs w:val="24"/>
        </w:rPr>
        <w:t>§</w:t>
      </w:r>
      <w:r>
        <w:rPr>
          <w:rFonts w:cs="Times New Roman"/>
          <w:bCs/>
          <w:szCs w:val="24"/>
        </w:rPr>
        <w:t xml:space="preserve"> 36.204</w:t>
      </w:r>
      <w:r>
        <w:t>.</w:t>
      </w:r>
      <w:r>
        <w:rPr>
          <w:rStyle w:val="FootnoteReference"/>
        </w:rPr>
        <w:footnoteReference w:id="44"/>
      </w:r>
      <w:r>
        <w:t xml:space="preserve"> </w:t>
      </w:r>
      <w:r w:rsidR="002E7BBB">
        <w:rPr>
          <w:rFonts w:cs="Times New Roman"/>
          <w:bCs/>
          <w:szCs w:val="24"/>
        </w:rPr>
        <w:t>Importantly, the W</w:t>
      </w:r>
      <w:r w:rsidR="007920B1">
        <w:rPr>
          <w:rFonts w:cs="Times New Roman"/>
          <w:bCs/>
          <w:szCs w:val="24"/>
        </w:rPr>
        <w:t>H</w:t>
      </w:r>
      <w:r w:rsidR="002E7BBB">
        <w:rPr>
          <w:rFonts w:cs="Times New Roman"/>
          <w:bCs/>
          <w:szCs w:val="24"/>
        </w:rPr>
        <w:t>EV Pilot program is not a load management program, but merely a blanket credit rate available only to a subset of customers with a high-consuming electrical device applying to all overnight electricity usage</w:t>
      </w:r>
      <w:r w:rsidR="00CB39A2">
        <w:rPr>
          <w:rFonts w:cs="Times New Roman"/>
          <w:bCs/>
          <w:szCs w:val="24"/>
        </w:rPr>
        <w:t xml:space="preserve"> and not just EV usage</w:t>
      </w:r>
      <w:r w:rsidR="002E7BBB">
        <w:rPr>
          <w:rFonts w:cs="Times New Roman"/>
          <w:bCs/>
          <w:szCs w:val="24"/>
        </w:rPr>
        <w:t xml:space="preserve">. Such a blanket overnight credit rate does nothing to reduce </w:t>
      </w:r>
      <w:r w:rsidR="007920B1">
        <w:rPr>
          <w:rFonts w:cs="Times New Roman"/>
          <w:bCs/>
          <w:szCs w:val="24"/>
        </w:rPr>
        <w:t>the incentive for customers to impose load on the system at the time of EPE’s system peak</w:t>
      </w:r>
      <w:r w:rsidR="00C63DD4">
        <w:rPr>
          <w:rFonts w:cs="Times New Roman"/>
          <w:bCs/>
          <w:szCs w:val="24"/>
        </w:rPr>
        <w:t>, an important aspect of any load management program</w:t>
      </w:r>
      <w:r w:rsidR="007920B1">
        <w:rPr>
          <w:rFonts w:cs="Times New Roman"/>
          <w:bCs/>
          <w:szCs w:val="24"/>
        </w:rPr>
        <w:t xml:space="preserve">. </w:t>
      </w:r>
      <w:r>
        <w:rPr>
          <w:rFonts w:cs="Times New Roman"/>
          <w:bCs/>
          <w:szCs w:val="24"/>
        </w:rPr>
        <w:t>Accordingly</w:t>
      </w:r>
      <w:r w:rsidR="00142701">
        <w:rPr>
          <w:rFonts w:cs="Times New Roman"/>
          <w:bCs/>
          <w:szCs w:val="24"/>
        </w:rPr>
        <w:t xml:space="preserve">, </w:t>
      </w:r>
      <w:r>
        <w:t xml:space="preserve">PURA </w:t>
      </w:r>
      <w:r w:rsidRPr="00435CA7">
        <w:rPr>
          <w:rFonts w:cs="Times New Roman"/>
          <w:bCs/>
          <w:szCs w:val="24"/>
        </w:rPr>
        <w:t>§</w:t>
      </w:r>
      <w:r>
        <w:rPr>
          <w:rFonts w:cs="Times New Roman"/>
          <w:bCs/>
          <w:szCs w:val="24"/>
        </w:rPr>
        <w:t xml:space="preserve"> 36.204 does not apply in this context. However, to the extent the Commission determines otherwise, </w:t>
      </w:r>
      <w:r w:rsidR="00E36AC0">
        <w:rPr>
          <w:rFonts w:cs="Times New Roman"/>
          <w:bCs/>
          <w:szCs w:val="24"/>
        </w:rPr>
        <w:t>the type of “additional incentive” referenced in the PFD</w:t>
      </w:r>
      <w:r>
        <w:rPr>
          <w:rFonts w:cs="Times New Roman"/>
          <w:bCs/>
          <w:szCs w:val="24"/>
        </w:rPr>
        <w:t>,</w:t>
      </w:r>
      <w:r w:rsidR="00E36AC0">
        <w:rPr>
          <w:rFonts w:cs="Times New Roman"/>
          <w:bCs/>
          <w:szCs w:val="24"/>
        </w:rPr>
        <w:t xml:space="preserve"> </w:t>
      </w:r>
      <w:r w:rsidR="006C0035">
        <w:rPr>
          <w:rFonts w:cs="Times New Roman"/>
          <w:bCs/>
          <w:szCs w:val="24"/>
        </w:rPr>
        <w:t xml:space="preserve">for EPE </w:t>
      </w:r>
      <w:r w:rsidR="00E36AC0">
        <w:rPr>
          <w:rFonts w:cs="Times New Roman"/>
          <w:bCs/>
          <w:szCs w:val="24"/>
        </w:rPr>
        <w:t xml:space="preserve">to promote the goal of load management, is not a type of “additional incentive” the Legislature </w:t>
      </w:r>
      <w:r w:rsidR="00CD61DA">
        <w:rPr>
          <w:rFonts w:cs="Times New Roman"/>
          <w:bCs/>
          <w:szCs w:val="24"/>
        </w:rPr>
        <w:t>intended</w:t>
      </w:r>
      <w:r w:rsidR="00E36AC0">
        <w:rPr>
          <w:rFonts w:cs="Times New Roman"/>
          <w:bCs/>
          <w:szCs w:val="24"/>
        </w:rPr>
        <w:t xml:space="preserve"> under </w:t>
      </w:r>
      <w:r w:rsidR="00E36AC0">
        <w:t xml:space="preserve">PURA </w:t>
      </w:r>
      <w:r w:rsidR="00E36AC0" w:rsidRPr="00435CA7">
        <w:rPr>
          <w:rFonts w:cs="Times New Roman"/>
          <w:bCs/>
          <w:szCs w:val="24"/>
        </w:rPr>
        <w:t>§</w:t>
      </w:r>
      <w:r w:rsidR="00E36AC0">
        <w:rPr>
          <w:rFonts w:cs="Times New Roman"/>
          <w:bCs/>
          <w:szCs w:val="24"/>
        </w:rPr>
        <w:t> 36.204.</w:t>
      </w:r>
      <w:r w:rsidR="00284194">
        <w:rPr>
          <w:rFonts w:cs="Times New Roman"/>
          <w:bCs/>
          <w:szCs w:val="24"/>
        </w:rPr>
        <w:t xml:space="preserve"> </w:t>
      </w:r>
      <w:r w:rsidR="006C0035">
        <w:rPr>
          <w:rFonts w:cs="Times New Roman"/>
          <w:bCs/>
          <w:szCs w:val="24"/>
        </w:rPr>
        <w:t xml:space="preserve">As discussed above, Staff recommends that the “additional </w:t>
      </w:r>
      <w:r w:rsidR="006C0035">
        <w:rPr>
          <w:rFonts w:cs="Times New Roman"/>
          <w:bCs/>
          <w:szCs w:val="24"/>
        </w:rPr>
        <w:lastRenderedPageBreak/>
        <w:t xml:space="preserve">incentives” </w:t>
      </w:r>
      <w:r w:rsidR="00DA74EB">
        <w:rPr>
          <w:rFonts w:cs="Times New Roman"/>
          <w:bCs/>
          <w:szCs w:val="24"/>
        </w:rPr>
        <w:t>must be something that can be recovered by an electric utility that goes beyond the reasonable costs associated with load management. In this circumstance, however, EPE will not be able to recover more than the reasonable costs, if any, associated with the WHEV Pilot Incentive Credit Rider.</w:t>
      </w:r>
    </w:p>
    <w:p w14:paraId="2AB07999" w14:textId="1E8DEDFB" w:rsidR="008010C2" w:rsidRDefault="00284194" w:rsidP="008010C2">
      <w:pPr>
        <w:pStyle w:val="ListParagraph"/>
        <w:ind w:firstLine="720"/>
        <w:jc w:val="both"/>
        <w:rPr>
          <w:rFonts w:eastAsia="Times New Roman" w:cs="Times New Roman"/>
          <w:szCs w:val="20"/>
        </w:rPr>
      </w:pPr>
      <w:r>
        <w:rPr>
          <w:rFonts w:cs="Times New Roman"/>
          <w:bCs/>
          <w:szCs w:val="24"/>
        </w:rPr>
        <w:t xml:space="preserve">Staff also excepts to the finding that </w:t>
      </w:r>
      <w:r w:rsidR="00C53D79">
        <w:rPr>
          <w:rFonts w:eastAsia="Times New Roman" w:cs="Times New Roman"/>
          <w:szCs w:val="20"/>
        </w:rPr>
        <w:t>b</w:t>
      </w:r>
      <w:r w:rsidR="00C53D79" w:rsidRPr="008C2C9E">
        <w:rPr>
          <w:rFonts w:eastAsia="Times New Roman" w:cs="Times New Roman"/>
          <w:szCs w:val="20"/>
        </w:rPr>
        <w:t>ecause the credits are cost-based and because EPE does not anticipate incurring any material incremental costs, the effect on non-participating ratepayers should be minimal.</w:t>
      </w:r>
      <w:r w:rsidR="00C53D79" w:rsidRPr="008C2C9E">
        <w:rPr>
          <w:rFonts w:eastAsia="Times New Roman" w:cs="Times New Roman"/>
          <w:position w:val="6"/>
          <w:sz w:val="16"/>
          <w:szCs w:val="20"/>
        </w:rPr>
        <w:footnoteReference w:id="45"/>
      </w:r>
      <w:r w:rsidR="00C53D79" w:rsidRPr="008C2C9E">
        <w:rPr>
          <w:rFonts w:eastAsia="Times New Roman" w:cs="Times New Roman"/>
          <w:szCs w:val="20"/>
        </w:rPr>
        <w:t xml:space="preserve"> Staff disagrees with this assessment</w:t>
      </w:r>
      <w:r w:rsidR="00C53D79">
        <w:rPr>
          <w:rFonts w:eastAsia="Times New Roman" w:cs="Times New Roman"/>
          <w:szCs w:val="20"/>
        </w:rPr>
        <w:t xml:space="preserve">, as </w:t>
      </w:r>
      <w:r w:rsidR="0014560C">
        <w:rPr>
          <w:rFonts w:eastAsia="Times New Roman" w:cs="Times New Roman"/>
          <w:szCs w:val="20"/>
        </w:rPr>
        <w:t>EPE’s rates without the discount were established by the Commission based on cost</w:t>
      </w:r>
      <w:r w:rsidR="00C53D79" w:rsidRPr="008C2C9E">
        <w:rPr>
          <w:rFonts w:eastAsia="Times New Roman" w:cs="Times New Roman"/>
          <w:szCs w:val="20"/>
        </w:rPr>
        <w:t xml:space="preserve">. </w:t>
      </w:r>
      <w:r w:rsidR="0014560C">
        <w:rPr>
          <w:rFonts w:eastAsia="Times New Roman" w:cs="Times New Roman"/>
          <w:szCs w:val="20"/>
        </w:rPr>
        <w:t xml:space="preserve">The implicit claim that a customer who owns an EV imposes a lower level of cost on the system by running their dishwasher at 9pm than a customer who does not own an EV and who runs their identical dishwasher at 9pm defies logic. </w:t>
      </w:r>
      <w:r w:rsidR="00CB39A2">
        <w:rPr>
          <w:rFonts w:eastAsia="Times New Roman" w:cs="Times New Roman"/>
          <w:szCs w:val="20"/>
        </w:rPr>
        <w:t>If increased usage during the off-peak hours does not cause EPE to incur any material incremental costs, then the rate credit should be made available to all customers and not just customers</w:t>
      </w:r>
      <w:r w:rsidR="0014560C">
        <w:rPr>
          <w:rFonts w:eastAsia="Times New Roman" w:cs="Times New Roman"/>
          <w:szCs w:val="20"/>
        </w:rPr>
        <w:t xml:space="preserve"> with EVs</w:t>
      </w:r>
      <w:r w:rsidR="00CB39A2">
        <w:rPr>
          <w:rFonts w:eastAsia="Times New Roman" w:cs="Times New Roman"/>
          <w:szCs w:val="20"/>
        </w:rPr>
        <w:t xml:space="preserve">. </w:t>
      </w:r>
      <w:r w:rsidR="0014560C">
        <w:rPr>
          <w:rFonts w:cs="Times New Roman"/>
          <w:bCs/>
          <w:szCs w:val="24"/>
        </w:rPr>
        <w:t>Additionally</w:t>
      </w:r>
      <w:r w:rsidR="00996B5A">
        <w:rPr>
          <w:rFonts w:cs="Times New Roman"/>
          <w:bCs/>
          <w:szCs w:val="24"/>
        </w:rPr>
        <w:t xml:space="preserve">, </w:t>
      </w:r>
      <w:r w:rsidR="00C97017">
        <w:rPr>
          <w:rFonts w:cs="Times New Roman"/>
          <w:bCs/>
          <w:szCs w:val="24"/>
        </w:rPr>
        <w:t xml:space="preserve">because the rider does not require a customer to have a separate meter that specifically measures only for EV energy consumption, it is logically impossible for EPE to disaggregate the EV energy consumption from the non-EV energy consumption behind a customer’s meter, such that </w:t>
      </w:r>
      <w:r w:rsidR="00996B5A">
        <w:rPr>
          <w:rFonts w:cs="Times New Roman"/>
          <w:bCs/>
          <w:szCs w:val="24"/>
        </w:rPr>
        <w:t>the rider will unreasonably subsidize the non-EV energy consumption for the enrolled customers at the expense of other customers.</w:t>
      </w:r>
      <w:r w:rsidR="00C97017" w:rsidRPr="00C97017">
        <w:rPr>
          <w:rStyle w:val="FootnoteReference"/>
          <w:rFonts w:cs="Times New Roman"/>
          <w:bCs/>
          <w:szCs w:val="24"/>
        </w:rPr>
        <w:t xml:space="preserve"> </w:t>
      </w:r>
      <w:r w:rsidR="00C97017">
        <w:rPr>
          <w:rStyle w:val="FootnoteReference"/>
          <w:rFonts w:cs="Times New Roman"/>
          <w:bCs/>
          <w:szCs w:val="24"/>
        </w:rPr>
        <w:footnoteReference w:id="46"/>
      </w:r>
      <w:r w:rsidR="00570FFE">
        <w:rPr>
          <w:rFonts w:cs="Times New Roman"/>
          <w:bCs/>
          <w:szCs w:val="24"/>
        </w:rPr>
        <w:t xml:space="preserve"> </w:t>
      </w:r>
      <w:r w:rsidR="00C97017">
        <w:rPr>
          <w:rFonts w:cs="Times New Roman"/>
          <w:bCs/>
          <w:szCs w:val="24"/>
        </w:rPr>
        <w:t>Conversely</w:t>
      </w:r>
      <w:r w:rsidR="00C53D79">
        <w:rPr>
          <w:rFonts w:cs="Times New Roman"/>
          <w:bCs/>
          <w:szCs w:val="24"/>
        </w:rPr>
        <w:t>, a</w:t>
      </w:r>
      <w:r w:rsidR="00C53D79" w:rsidRPr="008C2C9E">
        <w:rPr>
          <w:rFonts w:eastAsia="Times New Roman" w:cs="Times New Roman"/>
          <w:szCs w:val="20"/>
        </w:rPr>
        <w:t>ny non-participating customer who chooses to use large amounts of electricity in off-peak hours would not receive the benefits of the</w:t>
      </w:r>
      <w:r w:rsidR="00C53D79">
        <w:rPr>
          <w:rFonts w:eastAsia="Times New Roman" w:cs="Times New Roman"/>
          <w:szCs w:val="20"/>
        </w:rPr>
        <w:t xml:space="preserve"> </w:t>
      </w:r>
      <w:r w:rsidR="00C53D79" w:rsidRPr="008C2C9E">
        <w:rPr>
          <w:rFonts w:eastAsia="Times New Roman" w:cs="Times New Roman"/>
          <w:szCs w:val="20"/>
        </w:rPr>
        <w:t>program</w:t>
      </w:r>
      <w:r w:rsidR="0014560C">
        <w:rPr>
          <w:rFonts w:eastAsia="Times New Roman" w:cs="Times New Roman"/>
          <w:szCs w:val="20"/>
        </w:rPr>
        <w:t xml:space="preserve"> even if their electrical usage is identical to a program participant</w:t>
      </w:r>
      <w:r w:rsidR="00C53D79" w:rsidRPr="008C2C9E">
        <w:rPr>
          <w:rFonts w:eastAsia="Times New Roman" w:cs="Times New Roman"/>
          <w:szCs w:val="20"/>
        </w:rPr>
        <w:t>.</w:t>
      </w:r>
      <w:r w:rsidR="00AE5510">
        <w:rPr>
          <w:rStyle w:val="FootnoteReference"/>
          <w:rFonts w:eastAsia="Times New Roman" w:cs="Times New Roman"/>
          <w:szCs w:val="20"/>
        </w:rPr>
        <w:footnoteReference w:id="47"/>
      </w:r>
      <w:r w:rsidR="00C53D79">
        <w:rPr>
          <w:rFonts w:eastAsia="Times New Roman" w:cs="Times New Roman"/>
          <w:szCs w:val="20"/>
        </w:rPr>
        <w:t xml:space="preserve"> </w:t>
      </w:r>
    </w:p>
    <w:p w14:paraId="606CF330" w14:textId="38F283EA" w:rsidR="008010C2" w:rsidRDefault="00C53D79" w:rsidP="008010C2">
      <w:pPr>
        <w:pStyle w:val="ListParagraph"/>
        <w:ind w:firstLine="720"/>
        <w:jc w:val="both"/>
        <w:rPr>
          <w:rFonts w:eastAsia="Times New Roman" w:cs="Times New Roman"/>
          <w:szCs w:val="20"/>
        </w:rPr>
      </w:pPr>
      <w:r>
        <w:rPr>
          <w:rFonts w:eastAsia="Times New Roman" w:cs="Times New Roman"/>
          <w:szCs w:val="20"/>
        </w:rPr>
        <w:t xml:space="preserve">Ultimately, </w:t>
      </w:r>
      <w:r>
        <w:rPr>
          <w:rFonts w:cs="Times New Roman"/>
          <w:bCs/>
          <w:szCs w:val="24"/>
        </w:rPr>
        <w:t>s</w:t>
      </w:r>
      <w:r w:rsidR="00570FFE">
        <w:rPr>
          <w:rFonts w:cs="Times New Roman"/>
          <w:bCs/>
          <w:szCs w:val="24"/>
        </w:rPr>
        <w:t>uch subsidization is 1) outside the scope of the program and 2) blatantly an unreasonably discriminatory and preferential, as any benefits with off-peak energy usage should accrue to all customers with such usage patterns and not just the EV-owing customers.</w:t>
      </w:r>
      <w:r w:rsidR="00570FFE">
        <w:rPr>
          <w:rStyle w:val="FootnoteReference"/>
          <w:rFonts w:cs="Times New Roman"/>
          <w:bCs/>
          <w:szCs w:val="24"/>
        </w:rPr>
        <w:footnoteReference w:id="48"/>
      </w:r>
      <w:r w:rsidR="005E3F4B">
        <w:rPr>
          <w:rFonts w:cs="Times New Roman"/>
          <w:bCs/>
          <w:szCs w:val="24"/>
        </w:rPr>
        <w:t xml:space="preserve"> In addition to the subsidization of non-EV energy consumption, there will be additional costs that could be passed onto non-participating customers in the form of reduced revenues that would otherwise be collected from the participating customers and such reduced revenues apply equally to both EV and non-EV energy consumption.</w:t>
      </w:r>
      <w:r w:rsidR="005E3F4B">
        <w:rPr>
          <w:rStyle w:val="FootnoteReference"/>
          <w:rFonts w:cs="Times New Roman"/>
          <w:bCs/>
          <w:szCs w:val="24"/>
        </w:rPr>
        <w:footnoteReference w:id="49"/>
      </w:r>
      <w:r w:rsidR="005870B3">
        <w:rPr>
          <w:rFonts w:cs="Times New Roman"/>
          <w:bCs/>
          <w:szCs w:val="24"/>
        </w:rPr>
        <w:t xml:space="preserve"> </w:t>
      </w:r>
      <w:r w:rsidR="008010C2" w:rsidRPr="008C2C9E">
        <w:rPr>
          <w:rFonts w:cs="Times New Roman"/>
          <w:bCs/>
          <w:szCs w:val="24"/>
        </w:rPr>
        <w:t xml:space="preserve">Furthermore, EPE did not provide a clear proposal in this </w:t>
      </w:r>
      <w:r w:rsidR="008010C2" w:rsidRPr="008C2C9E">
        <w:rPr>
          <w:rFonts w:cs="Times New Roman"/>
          <w:bCs/>
          <w:szCs w:val="24"/>
        </w:rPr>
        <w:lastRenderedPageBreak/>
        <w:t>proceeding as regards to how the cost of the incentive credits will be recovered</w:t>
      </w:r>
      <w:r w:rsidR="008010C2">
        <w:rPr>
          <w:rFonts w:cs="Times New Roman"/>
          <w:bCs/>
          <w:szCs w:val="24"/>
        </w:rPr>
        <w:t xml:space="preserve">. </w:t>
      </w:r>
      <w:r w:rsidR="005E3F4B">
        <w:rPr>
          <w:rFonts w:cs="Times New Roman"/>
          <w:bCs/>
          <w:szCs w:val="24"/>
        </w:rPr>
        <w:t xml:space="preserve">Accordingly, </w:t>
      </w:r>
      <w:r w:rsidR="00CB780D">
        <w:rPr>
          <w:rFonts w:cs="Times New Roman"/>
          <w:bCs/>
          <w:szCs w:val="24"/>
        </w:rPr>
        <w:t xml:space="preserve">in contrast to the ALJs’ findings, </w:t>
      </w:r>
      <w:r w:rsidR="005E3F4B">
        <w:rPr>
          <w:rFonts w:cs="Times New Roman"/>
          <w:bCs/>
          <w:szCs w:val="24"/>
        </w:rPr>
        <w:t xml:space="preserve">the effect on non-participating customers </w:t>
      </w:r>
      <w:r w:rsidR="005870B3">
        <w:rPr>
          <w:rFonts w:cs="Times New Roman"/>
          <w:bCs/>
          <w:szCs w:val="24"/>
        </w:rPr>
        <w:t>will not be minimal.</w:t>
      </w:r>
      <w:r w:rsidR="005870B3">
        <w:rPr>
          <w:rStyle w:val="FootnoteReference"/>
          <w:rFonts w:cs="Times New Roman"/>
          <w:bCs/>
          <w:szCs w:val="24"/>
        </w:rPr>
        <w:footnoteReference w:id="50"/>
      </w:r>
      <w:r w:rsidR="005870B3">
        <w:rPr>
          <w:rFonts w:cs="Times New Roman"/>
          <w:bCs/>
          <w:szCs w:val="24"/>
        </w:rPr>
        <w:t xml:space="preserve"> </w:t>
      </w:r>
      <w:r w:rsidR="008010C2" w:rsidRPr="008C2C9E">
        <w:rPr>
          <w:rFonts w:eastAsia="Times New Roman" w:cs="Times New Roman"/>
          <w:szCs w:val="20"/>
        </w:rPr>
        <w:t>This is especially true since the ALJs do not recommend imposing any conditions regarding the segregation of cost recovery.</w:t>
      </w:r>
      <w:r w:rsidR="008010C2" w:rsidRPr="008C2C9E">
        <w:rPr>
          <w:rFonts w:eastAsia="Times New Roman" w:cs="Times New Roman"/>
          <w:position w:val="6"/>
          <w:sz w:val="16"/>
          <w:szCs w:val="20"/>
        </w:rPr>
        <w:footnoteReference w:id="51"/>
      </w:r>
      <w:r w:rsidR="008010C2" w:rsidRPr="008C2C9E">
        <w:rPr>
          <w:rFonts w:eastAsia="Times New Roman" w:cs="Times New Roman"/>
          <w:szCs w:val="20"/>
        </w:rPr>
        <w:t xml:space="preserve"> </w:t>
      </w:r>
    </w:p>
    <w:p w14:paraId="159A2059" w14:textId="236A666D" w:rsidR="006A20E6" w:rsidRPr="00F81965" w:rsidRDefault="00FA26B1" w:rsidP="00F81965">
      <w:pPr>
        <w:keepNext w:val="0"/>
        <w:spacing w:after="0"/>
        <w:contextualSpacing/>
        <w:outlineLvl w:val="9"/>
        <w:rPr>
          <w:rFonts w:eastAsia="Calibri"/>
          <w:sz w:val="22"/>
          <w:szCs w:val="22"/>
        </w:rPr>
      </w:pPr>
      <w:r>
        <w:rPr>
          <w:bCs/>
        </w:rPr>
        <w:t>Lastly</w:t>
      </w:r>
      <w:r w:rsidR="00570FFE">
        <w:rPr>
          <w:bCs/>
        </w:rPr>
        <w:t xml:space="preserve">, the rider is </w:t>
      </w:r>
      <w:r w:rsidR="007920B1">
        <w:rPr>
          <w:bCs/>
        </w:rPr>
        <w:t>entirely unnecessary</w:t>
      </w:r>
      <w:r w:rsidR="00C536AA">
        <w:rPr>
          <w:bCs/>
        </w:rPr>
        <w:t>,</w:t>
      </w:r>
      <w:r w:rsidR="00C536AA" w:rsidRPr="00F81965">
        <w:rPr>
          <w:rFonts w:eastAsia="Calibri"/>
        </w:rPr>
        <w:t xml:space="preserve"> because EPE’s existing Time of Day rate options already serve the purpose of incentivizing customers to use energy during off-peak times in a non-discriminatory manner</w:t>
      </w:r>
      <w:r w:rsidR="007920B1">
        <w:rPr>
          <w:rFonts w:eastAsia="Calibri"/>
        </w:rPr>
        <w:t>, by providing for lower rates in off-peak times independent of any discriminatory requirement that the customer own an EV or other high energy usage appliance</w:t>
      </w:r>
      <w:r w:rsidR="00C536AA" w:rsidRPr="00F81965">
        <w:rPr>
          <w:rFonts w:eastAsia="Calibri"/>
        </w:rPr>
        <w:t>.</w:t>
      </w:r>
      <w:r w:rsidR="00C536AA" w:rsidRPr="00F81965">
        <w:rPr>
          <w:position w:val="6"/>
          <w:sz w:val="16"/>
          <w:szCs w:val="20"/>
        </w:rPr>
        <w:footnoteReference w:id="52"/>
      </w:r>
      <w:r w:rsidR="00C536AA" w:rsidRPr="00F81965">
        <w:rPr>
          <w:rFonts w:eastAsia="Calibri"/>
        </w:rPr>
        <w:t xml:space="preserve"> </w:t>
      </w:r>
      <w:r w:rsidR="007920B1">
        <w:rPr>
          <w:rFonts w:eastAsia="Calibri"/>
        </w:rPr>
        <w:t>To</w:t>
      </w:r>
      <w:r w:rsidR="00C536AA" w:rsidRPr="00F81965">
        <w:rPr>
          <w:rFonts w:eastAsia="Calibri"/>
        </w:rPr>
        <w:t xml:space="preserve"> provide additional incentives for off-peak energy usage to a select group of customers is unreasonably preferential and discriminatory.</w:t>
      </w:r>
      <w:r w:rsidR="00AE5510">
        <w:rPr>
          <w:rStyle w:val="FootnoteReference"/>
          <w:rFonts w:eastAsia="Calibri"/>
        </w:rPr>
        <w:footnoteReference w:id="53"/>
      </w:r>
      <w:r w:rsidR="00C536AA" w:rsidRPr="00F81965">
        <w:rPr>
          <w:rFonts w:eastAsia="Calibri"/>
        </w:rPr>
        <w:t xml:space="preserve"> EPE</w:t>
      </w:r>
      <w:r w:rsidR="00C63DD4">
        <w:rPr>
          <w:rFonts w:eastAsia="Calibri"/>
        </w:rPr>
        <w:t xml:space="preserve">, as the party that bears the burden of proof, </w:t>
      </w:r>
      <w:r w:rsidR="00C536AA" w:rsidRPr="00F81965">
        <w:rPr>
          <w:rFonts w:eastAsia="Calibri"/>
        </w:rPr>
        <w:t xml:space="preserve">has failed to properly explain why the existing tariffs available to </w:t>
      </w:r>
      <w:r w:rsidR="00AF6AB2">
        <w:rPr>
          <w:rFonts w:eastAsia="Calibri"/>
        </w:rPr>
        <w:t>r</w:t>
      </w:r>
      <w:r w:rsidR="00C536AA" w:rsidRPr="00F81965">
        <w:rPr>
          <w:rFonts w:eastAsia="Calibri"/>
        </w:rPr>
        <w:t>esidential EV customers do not properly incentivize some customers to shift their charging to off-peak hours. EPE has also failed to demonstrate why modifications to the rate design applicable to all customers, such as mandatory demand charges or adjustments to the time-of-use rate design, would not better serve the goal of encouraging a shift of electric consumption from on-peak periods to off-peak periods in a non-discriminatory manner.</w:t>
      </w:r>
      <w:r w:rsidR="00C536AA" w:rsidRPr="00F81965">
        <w:rPr>
          <w:position w:val="6"/>
          <w:sz w:val="16"/>
          <w:szCs w:val="20"/>
        </w:rPr>
        <w:footnoteReference w:id="54"/>
      </w:r>
      <w:r w:rsidR="00C536AA" w:rsidRPr="00F81965">
        <w:rPr>
          <w:rFonts w:eastAsia="Calibri"/>
        </w:rPr>
        <w:t xml:space="preserve"> </w:t>
      </w:r>
      <w:r w:rsidR="00AE5510">
        <w:rPr>
          <w:rFonts w:eastAsia="Calibri"/>
        </w:rPr>
        <w:t>While</w:t>
      </w:r>
      <w:r w:rsidR="00C536AA" w:rsidRPr="00F81965">
        <w:rPr>
          <w:rFonts w:eastAsia="Calibri"/>
        </w:rPr>
        <w:t xml:space="preserve"> the </w:t>
      </w:r>
      <w:r w:rsidR="00C63DD4">
        <w:rPr>
          <w:rFonts w:eastAsia="Calibri"/>
        </w:rPr>
        <w:t>stated</w:t>
      </w:r>
      <w:r w:rsidR="00C536AA" w:rsidRPr="00F81965">
        <w:rPr>
          <w:rFonts w:eastAsia="Calibri"/>
        </w:rPr>
        <w:t xml:space="preserve"> purpose of this program is to make </w:t>
      </w:r>
      <w:r w:rsidR="00AE5510">
        <w:rPr>
          <w:rFonts w:eastAsia="Calibri"/>
        </w:rPr>
        <w:t xml:space="preserve">off-peak </w:t>
      </w:r>
      <w:r w:rsidR="00C536AA" w:rsidRPr="00F81965">
        <w:rPr>
          <w:rFonts w:eastAsia="Calibri"/>
        </w:rPr>
        <w:t>EV charging available to customers who cannot afford to install a second EV meter</w:t>
      </w:r>
      <w:r w:rsidR="00AE5510">
        <w:rPr>
          <w:rFonts w:eastAsia="Calibri"/>
        </w:rPr>
        <w:t>,</w:t>
      </w:r>
      <w:r w:rsidR="00C536AA" w:rsidRPr="00F81965">
        <w:rPr>
          <w:rFonts w:eastAsia="Calibri"/>
        </w:rPr>
        <w:t xml:space="preserve"> </w:t>
      </w:r>
      <w:r w:rsidR="00C63DD4">
        <w:rPr>
          <w:rFonts w:eastAsia="Calibri"/>
        </w:rPr>
        <w:t>a second meter is unnecessary in order to take service under EPE’s existing Time of Day rate options</w:t>
      </w:r>
      <w:r w:rsidR="00C536AA" w:rsidRPr="00F81965">
        <w:rPr>
          <w:rFonts w:eastAsia="Calibri"/>
        </w:rPr>
        <w:t>.</w:t>
      </w:r>
    </w:p>
    <w:p w14:paraId="326ECBB4" w14:textId="0554185F" w:rsidR="00745D0A" w:rsidRPr="00F024F1" w:rsidRDefault="006A20E6" w:rsidP="00F024F1">
      <w:pPr>
        <w:pStyle w:val="ListParagraph"/>
        <w:ind w:firstLine="720"/>
        <w:jc w:val="both"/>
      </w:pPr>
      <w:r>
        <w:rPr>
          <w:rFonts w:cs="Times New Roman"/>
          <w:bCs/>
          <w:szCs w:val="24"/>
        </w:rPr>
        <w:t>To the extent that the Commission determines the rider is reasonable</w:t>
      </w:r>
      <w:r w:rsidR="006C0035">
        <w:rPr>
          <w:rFonts w:cs="Times New Roman"/>
          <w:bCs/>
          <w:szCs w:val="24"/>
        </w:rPr>
        <w:t>,</w:t>
      </w:r>
      <w:r>
        <w:rPr>
          <w:rFonts w:cs="Times New Roman"/>
          <w:bCs/>
          <w:szCs w:val="24"/>
        </w:rPr>
        <w:t xml:space="preserve"> insofar as it seeks to reach EV customers who may not be able to afford the cost of installing a separate EV meter or who would be disinclined to use EPE’s other time-of-use rate options,</w:t>
      </w:r>
      <w:r>
        <w:rPr>
          <w:rStyle w:val="FootnoteReference"/>
          <w:rFonts w:cs="Times New Roman"/>
          <w:bCs/>
          <w:szCs w:val="24"/>
        </w:rPr>
        <w:footnoteReference w:id="55"/>
      </w:r>
      <w:r>
        <w:rPr>
          <w:rFonts w:cs="Times New Roman"/>
          <w:bCs/>
          <w:szCs w:val="24"/>
        </w:rPr>
        <w:t xml:space="preserve"> Staff recommends that it would be more reasonable and appropriate to require EPE to establish such an on-demand option</w:t>
      </w:r>
      <w:r w:rsidR="003D765C">
        <w:rPr>
          <w:rFonts w:cs="Times New Roman"/>
          <w:bCs/>
          <w:szCs w:val="24"/>
        </w:rPr>
        <w:t>,</w:t>
      </w:r>
      <w:r w:rsidR="006C0035">
        <w:rPr>
          <w:rFonts w:cs="Times New Roman"/>
          <w:bCs/>
          <w:szCs w:val="24"/>
        </w:rPr>
        <w:t xml:space="preserve"> like the WHEV Pilot Incentive Credit Rider</w:t>
      </w:r>
      <w:r w:rsidR="003D765C">
        <w:rPr>
          <w:rFonts w:cs="Times New Roman"/>
          <w:bCs/>
          <w:szCs w:val="24"/>
        </w:rPr>
        <w:t>,</w:t>
      </w:r>
      <w:r>
        <w:rPr>
          <w:rFonts w:cs="Times New Roman"/>
          <w:bCs/>
          <w:szCs w:val="24"/>
        </w:rPr>
        <w:t xml:space="preserve"> in a separate EV rate class. Particularly, such a </w:t>
      </w:r>
      <w:r w:rsidR="007C1F2C">
        <w:rPr>
          <w:rFonts w:cs="Times New Roman"/>
          <w:bCs/>
          <w:szCs w:val="24"/>
        </w:rPr>
        <w:t>requirement</w:t>
      </w:r>
      <w:r>
        <w:rPr>
          <w:rFonts w:cs="Times New Roman"/>
          <w:bCs/>
          <w:szCs w:val="24"/>
        </w:rPr>
        <w:t xml:space="preserve">, in lieu of </w:t>
      </w:r>
      <w:r w:rsidR="007C1F2C">
        <w:rPr>
          <w:rFonts w:cs="Times New Roman"/>
          <w:bCs/>
          <w:szCs w:val="24"/>
        </w:rPr>
        <w:t>approving</w:t>
      </w:r>
      <w:r>
        <w:rPr>
          <w:rFonts w:cs="Times New Roman"/>
          <w:bCs/>
          <w:szCs w:val="24"/>
        </w:rPr>
        <w:t xml:space="preserve"> the </w:t>
      </w:r>
      <w:r w:rsidR="006C0035">
        <w:rPr>
          <w:rFonts w:cs="Times New Roman"/>
          <w:bCs/>
          <w:szCs w:val="24"/>
        </w:rPr>
        <w:t>r</w:t>
      </w:r>
      <w:r>
        <w:rPr>
          <w:rFonts w:cs="Times New Roman"/>
          <w:bCs/>
          <w:szCs w:val="24"/>
        </w:rPr>
        <w:t xml:space="preserve">ider, would </w:t>
      </w:r>
      <w:r w:rsidR="007936D6">
        <w:rPr>
          <w:rFonts w:cs="Times New Roman"/>
          <w:bCs/>
          <w:szCs w:val="24"/>
        </w:rPr>
        <w:t>help to ensure that any costs associated with off-peak credits could be properly included in rates recovered from EV customers</w:t>
      </w:r>
      <w:r>
        <w:rPr>
          <w:rFonts w:cs="Times New Roman"/>
          <w:bCs/>
          <w:szCs w:val="24"/>
        </w:rPr>
        <w:t>.</w:t>
      </w:r>
    </w:p>
    <w:p w14:paraId="35E15992" w14:textId="7AD75CB7" w:rsidR="00224148" w:rsidRPr="00701B1B" w:rsidRDefault="00151BC4" w:rsidP="00745D0A">
      <w:pPr>
        <w:pStyle w:val="Heading2"/>
        <w:numPr>
          <w:ilvl w:val="0"/>
          <w:numId w:val="6"/>
        </w:numPr>
        <w:spacing w:after="0"/>
        <w:ind w:hanging="720"/>
        <w:jc w:val="left"/>
        <w:rPr>
          <w:caps/>
          <w:szCs w:val="18"/>
        </w:rPr>
      </w:pPr>
      <w:bookmarkStart w:id="6" w:name="_Toc164298052"/>
      <w:r>
        <w:rPr>
          <w:b/>
          <w:bCs/>
          <w:szCs w:val="18"/>
        </w:rPr>
        <w:lastRenderedPageBreak/>
        <w:t>PowerConnect Pilot Program</w:t>
      </w:r>
      <w:bookmarkEnd w:id="6"/>
    </w:p>
    <w:p w14:paraId="53BC5D74" w14:textId="0C011530" w:rsidR="00151BC4" w:rsidRDefault="00263E22" w:rsidP="00745D0A">
      <w:pPr>
        <w:pStyle w:val="Heading2"/>
        <w:numPr>
          <w:ilvl w:val="0"/>
          <w:numId w:val="4"/>
        </w:numPr>
        <w:spacing w:after="0"/>
      </w:pPr>
      <w:r>
        <w:t xml:space="preserve">Subsidies – PURA </w:t>
      </w:r>
      <w:r w:rsidRPr="00435CA7">
        <w:rPr>
          <w:bCs/>
        </w:rPr>
        <w:t>§</w:t>
      </w:r>
      <w:r>
        <w:rPr>
          <w:bCs/>
        </w:rPr>
        <w:t xml:space="preserve"> 42.0103(d)</w:t>
      </w:r>
    </w:p>
    <w:p w14:paraId="7EAE6E4E" w14:textId="32E60767" w:rsidR="00F32740" w:rsidRDefault="00F32740" w:rsidP="00B5220C">
      <w:pPr>
        <w:pStyle w:val="ListParagraph"/>
        <w:ind w:firstLine="720"/>
        <w:jc w:val="both"/>
        <w:rPr>
          <w:rFonts w:cs="Times New Roman"/>
          <w:bCs/>
          <w:szCs w:val="24"/>
        </w:rPr>
      </w:pPr>
      <w:r>
        <w:rPr>
          <w:rFonts w:cs="Times New Roman"/>
          <w:szCs w:val="24"/>
        </w:rPr>
        <w:t>Staff agrees with the ALJs</w:t>
      </w:r>
      <w:r w:rsidR="000C5F32">
        <w:rPr>
          <w:rFonts w:cs="Times New Roman"/>
          <w:szCs w:val="24"/>
        </w:rPr>
        <w:t>’</w:t>
      </w:r>
      <w:r>
        <w:rPr>
          <w:rFonts w:cs="Times New Roman"/>
          <w:szCs w:val="24"/>
        </w:rPr>
        <w:t xml:space="preserve"> conclusion that PURA </w:t>
      </w:r>
      <w:r w:rsidRPr="00435CA7">
        <w:rPr>
          <w:rFonts w:cs="Times New Roman"/>
          <w:bCs/>
          <w:szCs w:val="24"/>
        </w:rPr>
        <w:t>§</w:t>
      </w:r>
      <w:r>
        <w:rPr>
          <w:rFonts w:cs="Times New Roman"/>
          <w:bCs/>
          <w:szCs w:val="24"/>
        </w:rPr>
        <w:t xml:space="preserve"> 42.0103(d) is permissive and does not outright authorize or allow a utility to subsidize make-ready infrastructure for public EV charging stations.</w:t>
      </w:r>
      <w:r>
        <w:rPr>
          <w:rStyle w:val="FootnoteReference"/>
          <w:rFonts w:cs="Times New Roman"/>
          <w:bCs/>
          <w:szCs w:val="24"/>
        </w:rPr>
        <w:footnoteReference w:id="56"/>
      </w:r>
      <w:r>
        <w:rPr>
          <w:rFonts w:cs="Times New Roman"/>
          <w:bCs/>
          <w:szCs w:val="24"/>
        </w:rPr>
        <w:t xml:space="preserve"> However, Staff except</w:t>
      </w:r>
      <w:r w:rsidR="00CF4B47">
        <w:rPr>
          <w:rFonts w:cs="Times New Roman"/>
          <w:bCs/>
          <w:szCs w:val="24"/>
        </w:rPr>
        <w:t>s</w:t>
      </w:r>
      <w:r>
        <w:rPr>
          <w:rFonts w:cs="Times New Roman"/>
          <w:bCs/>
          <w:szCs w:val="24"/>
        </w:rPr>
        <w:t xml:space="preserve"> to the extent that the PFD does not address or consider that </w:t>
      </w:r>
      <w:r>
        <w:rPr>
          <w:rFonts w:cs="Times New Roman"/>
          <w:szCs w:val="24"/>
        </w:rPr>
        <w:t xml:space="preserve">PURA </w:t>
      </w:r>
      <w:r w:rsidRPr="00435CA7">
        <w:rPr>
          <w:rFonts w:cs="Times New Roman"/>
          <w:bCs/>
          <w:szCs w:val="24"/>
        </w:rPr>
        <w:t>§</w:t>
      </w:r>
      <w:r>
        <w:rPr>
          <w:rFonts w:cs="Times New Roman"/>
          <w:bCs/>
          <w:szCs w:val="24"/>
        </w:rPr>
        <w:t xml:space="preserve"> 42.0103(d) should be read in context with PURA </w:t>
      </w:r>
      <w:r w:rsidRPr="00435CA7">
        <w:rPr>
          <w:rFonts w:cs="Times New Roman"/>
          <w:bCs/>
          <w:szCs w:val="24"/>
        </w:rPr>
        <w:t>§</w:t>
      </w:r>
      <w:r>
        <w:rPr>
          <w:rFonts w:cs="Times New Roman"/>
          <w:bCs/>
          <w:szCs w:val="24"/>
        </w:rPr>
        <w:t xml:space="preserve"> 36.003 and 16 TAC </w:t>
      </w:r>
      <w:r w:rsidRPr="00435CA7">
        <w:rPr>
          <w:rFonts w:cs="Times New Roman"/>
          <w:bCs/>
          <w:szCs w:val="24"/>
        </w:rPr>
        <w:t>§</w:t>
      </w:r>
      <w:r>
        <w:rPr>
          <w:rFonts w:cs="Times New Roman"/>
          <w:bCs/>
          <w:szCs w:val="24"/>
        </w:rPr>
        <w:t xml:space="preserve"> 25.234(a), which require that rates may not be unreasonably preferential, prejudicial, or discriminatory, but must be sufficient, equitable, and consistent in application to each class of customer.</w:t>
      </w:r>
      <w:r>
        <w:rPr>
          <w:rStyle w:val="FootnoteReference"/>
          <w:rFonts w:cs="Times New Roman"/>
          <w:bCs/>
          <w:szCs w:val="24"/>
        </w:rPr>
        <w:footnoteReference w:id="57"/>
      </w:r>
      <w:r>
        <w:rPr>
          <w:rFonts w:cs="Times New Roman"/>
          <w:bCs/>
          <w:szCs w:val="24"/>
        </w:rPr>
        <w:t xml:space="preserve"> </w:t>
      </w:r>
      <w:r w:rsidR="00447BD9">
        <w:rPr>
          <w:rFonts w:cs="Times New Roman"/>
          <w:bCs/>
          <w:szCs w:val="24"/>
        </w:rPr>
        <w:t>Further, consistent with the ALJs’ conclusion related to the TCTX Pilot Program and that such offerings for non-public EV charging stations and infrastructure be left to the competitive private market,</w:t>
      </w:r>
      <w:r w:rsidR="00447BD9">
        <w:rPr>
          <w:rStyle w:val="FootnoteReference"/>
          <w:rFonts w:cs="Times New Roman"/>
          <w:bCs/>
          <w:szCs w:val="24"/>
        </w:rPr>
        <w:footnoteReference w:id="58"/>
      </w:r>
      <w:r w:rsidR="00447BD9">
        <w:rPr>
          <w:rFonts w:cs="Times New Roman"/>
          <w:bCs/>
          <w:szCs w:val="24"/>
        </w:rPr>
        <w:t xml:space="preserve"> Staff recommends that, </w:t>
      </w:r>
      <w:r w:rsidR="006307F6">
        <w:rPr>
          <w:rFonts w:cs="Times New Roman"/>
          <w:bCs/>
          <w:szCs w:val="24"/>
        </w:rPr>
        <w:t xml:space="preserve">to </w:t>
      </w:r>
      <w:r w:rsidR="00447BD9">
        <w:rPr>
          <w:bCs/>
        </w:rPr>
        <w:t xml:space="preserve">the extent that Staff’s exceptions </w:t>
      </w:r>
      <w:r w:rsidR="00094D50">
        <w:rPr>
          <w:bCs/>
        </w:rPr>
        <w:t xml:space="preserve">to </w:t>
      </w:r>
      <w:r w:rsidR="00447BD9">
        <w:rPr>
          <w:bCs/>
        </w:rPr>
        <w:t>the overall approval of the PowerConnect Pilot Program</w:t>
      </w:r>
      <w:r w:rsidR="006F485B">
        <w:rPr>
          <w:bCs/>
        </w:rPr>
        <w:t xml:space="preserve"> are not granted</w:t>
      </w:r>
      <w:r w:rsidR="006307F6">
        <w:rPr>
          <w:bCs/>
        </w:rPr>
        <w:t xml:space="preserve">, </w:t>
      </w:r>
      <w:r w:rsidR="006F485B">
        <w:rPr>
          <w:bCs/>
        </w:rPr>
        <w:t>the ALJs revise proposed Finding of Fact No. 86 to state that EPE may not offer the PowerConnect Pilot Program to customers that will only be using non-public EV charging stations.</w:t>
      </w:r>
      <w:r w:rsidR="00B3575D">
        <w:rPr>
          <w:rStyle w:val="FootnoteReference"/>
          <w:bCs/>
        </w:rPr>
        <w:footnoteReference w:id="59"/>
      </w:r>
      <w:r w:rsidR="006F485B">
        <w:rPr>
          <w:bCs/>
        </w:rPr>
        <w:t xml:space="preserve"> </w:t>
      </w:r>
    </w:p>
    <w:p w14:paraId="40642ED1" w14:textId="77777777" w:rsidR="00F32740" w:rsidRPr="00F31EAB" w:rsidRDefault="00F32740" w:rsidP="00B5220C">
      <w:pPr>
        <w:pStyle w:val="ListParagraph"/>
        <w:ind w:firstLine="720"/>
        <w:jc w:val="both"/>
        <w:rPr>
          <w:rFonts w:cs="Times New Roman"/>
          <w:szCs w:val="24"/>
        </w:rPr>
      </w:pPr>
    </w:p>
    <w:p w14:paraId="7C5A0773" w14:textId="2434E8EB" w:rsidR="00151BC4" w:rsidRDefault="00263E22" w:rsidP="00745D0A">
      <w:pPr>
        <w:pStyle w:val="Heading2"/>
        <w:numPr>
          <w:ilvl w:val="0"/>
          <w:numId w:val="4"/>
        </w:numPr>
        <w:spacing w:after="0"/>
      </w:pPr>
      <w:r>
        <w:t xml:space="preserve">Make-Ready Infrastructure – PURA </w:t>
      </w:r>
      <w:r w:rsidRPr="00435CA7">
        <w:rPr>
          <w:bCs/>
        </w:rPr>
        <w:t>§</w:t>
      </w:r>
      <w:r>
        <w:rPr>
          <w:bCs/>
        </w:rPr>
        <w:t xml:space="preserve"> 42.0102(6)</w:t>
      </w:r>
    </w:p>
    <w:p w14:paraId="5C16A3CF" w14:textId="27C5E7C3" w:rsidR="00C56B44" w:rsidRDefault="00025CE5" w:rsidP="00B5220C">
      <w:pPr>
        <w:pStyle w:val="ListParagraph"/>
        <w:ind w:firstLine="720"/>
        <w:jc w:val="both"/>
        <w:rPr>
          <w:rFonts w:cs="Times New Roman"/>
          <w:szCs w:val="24"/>
        </w:rPr>
      </w:pPr>
      <w:bookmarkStart w:id="7" w:name="_Hlk163725053"/>
      <w:r>
        <w:rPr>
          <w:rFonts w:cs="Times New Roman"/>
          <w:szCs w:val="24"/>
        </w:rPr>
        <w:t>Staff agrees with the ALJs</w:t>
      </w:r>
      <w:r w:rsidR="00BF1195">
        <w:rPr>
          <w:rFonts w:cs="Times New Roman"/>
          <w:szCs w:val="24"/>
        </w:rPr>
        <w:t>’</w:t>
      </w:r>
      <w:r>
        <w:rPr>
          <w:rFonts w:cs="Times New Roman"/>
          <w:szCs w:val="24"/>
        </w:rPr>
        <w:t xml:space="preserve"> conclusion that the scope the PowerConnect </w:t>
      </w:r>
      <w:r w:rsidR="00447BD9">
        <w:rPr>
          <w:rFonts w:cs="Times New Roman"/>
          <w:szCs w:val="24"/>
        </w:rPr>
        <w:t xml:space="preserve">Pilot </w:t>
      </w:r>
      <w:r>
        <w:rPr>
          <w:rFonts w:cs="Times New Roman"/>
          <w:szCs w:val="24"/>
        </w:rPr>
        <w:t>Program should be limited to customers that will use the make-ready infrastructure for purposes of deploying a public EV charging station that will be accessible for commercial use by the public,</w:t>
      </w:r>
      <w:r>
        <w:rPr>
          <w:rStyle w:val="FootnoteReference"/>
          <w:rFonts w:cs="Times New Roman"/>
          <w:szCs w:val="24"/>
        </w:rPr>
        <w:footnoteReference w:id="60"/>
      </w:r>
      <w:r>
        <w:rPr>
          <w:rFonts w:cs="Times New Roman"/>
          <w:szCs w:val="24"/>
        </w:rPr>
        <w:t xml:space="preserve"> meaning the participating customer will need to provide EV charging services to the public.</w:t>
      </w:r>
      <w:r w:rsidR="00CD61DA">
        <w:rPr>
          <w:rFonts w:cs="Times New Roman"/>
          <w:szCs w:val="24"/>
        </w:rPr>
        <w:t xml:space="preserve"> </w:t>
      </w:r>
    </w:p>
    <w:p w14:paraId="65538B96" w14:textId="7690F93D" w:rsidR="00417B80" w:rsidRDefault="00CD61DA" w:rsidP="00B5220C">
      <w:pPr>
        <w:pStyle w:val="ListParagraph"/>
        <w:ind w:firstLine="720"/>
        <w:jc w:val="both"/>
        <w:rPr>
          <w:rFonts w:cs="Times New Roman"/>
          <w:szCs w:val="24"/>
        </w:rPr>
      </w:pPr>
      <w:r>
        <w:rPr>
          <w:rFonts w:cs="Times New Roman"/>
          <w:szCs w:val="24"/>
        </w:rPr>
        <w:t xml:space="preserve">Furthermore, </w:t>
      </w:r>
      <w:r w:rsidR="004045A3">
        <w:rPr>
          <w:rFonts w:cs="Times New Roman"/>
          <w:szCs w:val="24"/>
        </w:rPr>
        <w:t>in</w:t>
      </w:r>
      <w:r>
        <w:rPr>
          <w:rFonts w:cs="Times New Roman"/>
          <w:szCs w:val="24"/>
        </w:rPr>
        <w:t xml:space="preserve"> respon</w:t>
      </w:r>
      <w:r w:rsidR="004045A3">
        <w:rPr>
          <w:rFonts w:cs="Times New Roman"/>
          <w:szCs w:val="24"/>
        </w:rPr>
        <w:t>se</w:t>
      </w:r>
      <w:r>
        <w:rPr>
          <w:rFonts w:cs="Times New Roman"/>
          <w:szCs w:val="24"/>
        </w:rPr>
        <w:t xml:space="preserve"> to the ALJs’ </w:t>
      </w:r>
      <w:r w:rsidR="004045A3">
        <w:rPr>
          <w:rFonts w:cs="Times New Roman"/>
          <w:szCs w:val="24"/>
        </w:rPr>
        <w:t>potential inquiry in</w:t>
      </w:r>
      <w:r w:rsidR="00CB780D">
        <w:rPr>
          <w:rFonts w:cs="Times New Roman"/>
          <w:szCs w:val="24"/>
        </w:rPr>
        <w:t>to</w:t>
      </w:r>
      <w:r w:rsidR="004045A3">
        <w:rPr>
          <w:rFonts w:cs="Times New Roman"/>
          <w:szCs w:val="24"/>
        </w:rPr>
        <w:t xml:space="preserve"> </w:t>
      </w:r>
      <w:r>
        <w:rPr>
          <w:rFonts w:cs="Times New Roman"/>
          <w:szCs w:val="24"/>
        </w:rPr>
        <w:t xml:space="preserve">whether the proposed subsidies for servicing non-public EV charging stations are appropriate incentives under PURA </w:t>
      </w:r>
      <w:r w:rsidRPr="00435CA7">
        <w:rPr>
          <w:rFonts w:cs="Times New Roman"/>
          <w:bCs/>
          <w:szCs w:val="24"/>
        </w:rPr>
        <w:t>§</w:t>
      </w:r>
      <w:r>
        <w:rPr>
          <w:rFonts w:cs="Times New Roman"/>
          <w:bCs/>
          <w:szCs w:val="24"/>
        </w:rPr>
        <w:t xml:space="preserve"> 36.204</w:t>
      </w:r>
      <w:r>
        <w:rPr>
          <w:rFonts w:cs="Times New Roman"/>
          <w:szCs w:val="24"/>
        </w:rPr>
        <w:t>,</w:t>
      </w:r>
      <w:r w:rsidR="005D4806">
        <w:rPr>
          <w:rStyle w:val="FootnoteReference"/>
          <w:rFonts w:cs="Times New Roman"/>
          <w:szCs w:val="24"/>
        </w:rPr>
        <w:footnoteReference w:id="61"/>
      </w:r>
      <w:r>
        <w:rPr>
          <w:rFonts w:cs="Times New Roman"/>
          <w:szCs w:val="24"/>
        </w:rPr>
        <w:t xml:space="preserve"> Staff recommends</w:t>
      </w:r>
      <w:r w:rsidR="00202971">
        <w:rPr>
          <w:rFonts w:cs="Times New Roman"/>
          <w:szCs w:val="24"/>
        </w:rPr>
        <w:t xml:space="preserve"> </w:t>
      </w:r>
      <w:r>
        <w:rPr>
          <w:rFonts w:cs="Times New Roman"/>
          <w:szCs w:val="24"/>
        </w:rPr>
        <w:t xml:space="preserve">that allowing EPE to subsidize make-ready infrastructure for non-public EV charging stations is not </w:t>
      </w:r>
      <w:r w:rsidR="00202971">
        <w:rPr>
          <w:rFonts w:cs="Times New Roman"/>
          <w:bCs/>
          <w:szCs w:val="24"/>
        </w:rPr>
        <w:t xml:space="preserve">associated with conservation, load management, purchased power, and renewable resources, as required </w:t>
      </w:r>
      <w:r>
        <w:rPr>
          <w:rFonts w:cs="Times New Roman"/>
          <w:bCs/>
          <w:szCs w:val="24"/>
        </w:rPr>
        <w:t xml:space="preserve">under </w:t>
      </w:r>
      <w:r>
        <w:t xml:space="preserve">PURA </w:t>
      </w:r>
      <w:r w:rsidRPr="00435CA7">
        <w:rPr>
          <w:rFonts w:cs="Times New Roman"/>
          <w:bCs/>
          <w:szCs w:val="24"/>
        </w:rPr>
        <w:t>§</w:t>
      </w:r>
      <w:r>
        <w:rPr>
          <w:rFonts w:cs="Times New Roman"/>
          <w:bCs/>
          <w:szCs w:val="24"/>
        </w:rPr>
        <w:t> 36.204</w:t>
      </w:r>
      <w:r>
        <w:rPr>
          <w:rFonts w:cs="Times New Roman"/>
          <w:szCs w:val="24"/>
        </w:rPr>
        <w:t xml:space="preserve">. </w:t>
      </w:r>
      <w:r w:rsidR="00202971">
        <w:rPr>
          <w:rFonts w:cs="Times New Roman"/>
          <w:szCs w:val="24"/>
        </w:rPr>
        <w:t xml:space="preserve">Further, even if the Commission </w:t>
      </w:r>
      <w:r w:rsidR="00202971">
        <w:rPr>
          <w:rFonts w:cs="Times New Roman"/>
          <w:szCs w:val="24"/>
        </w:rPr>
        <w:lastRenderedPageBreak/>
        <w:t xml:space="preserve">determines otherwise, the potential incentive </w:t>
      </w:r>
      <w:r w:rsidR="00202971" w:rsidRPr="00202971">
        <w:rPr>
          <w:rFonts w:cs="Times New Roman"/>
          <w:szCs w:val="24"/>
        </w:rPr>
        <w:t xml:space="preserve">is not </w:t>
      </w:r>
      <w:r w:rsidR="00202971">
        <w:rPr>
          <w:rFonts w:cs="Times New Roman"/>
          <w:szCs w:val="24"/>
        </w:rPr>
        <w:t>the</w:t>
      </w:r>
      <w:r w:rsidR="00202971" w:rsidRPr="00202971">
        <w:rPr>
          <w:rFonts w:cs="Times New Roman"/>
          <w:szCs w:val="24"/>
        </w:rPr>
        <w:t xml:space="preserve"> type of “additional incentive” the Legislature intended under PURA § 36.204. </w:t>
      </w:r>
      <w:r w:rsidR="00202971">
        <w:rPr>
          <w:rFonts w:cs="Times New Roman"/>
          <w:szCs w:val="24"/>
        </w:rPr>
        <w:t>Specifically, a</w:t>
      </w:r>
      <w:r w:rsidR="00202971" w:rsidRPr="00202971">
        <w:rPr>
          <w:rFonts w:cs="Times New Roman"/>
          <w:szCs w:val="24"/>
        </w:rPr>
        <w:t xml:space="preserve">s discussed above, Staff recommends that the “additional incentives” under PURA § 36.204 </w:t>
      </w:r>
      <w:r w:rsidR="00211E68">
        <w:rPr>
          <w:rFonts w:cs="Times New Roman"/>
          <w:bCs/>
          <w:szCs w:val="24"/>
        </w:rPr>
        <w:t>must be something that can be recovered by an electric utility that goes beyond the reasonable costs associated with conservation, load management, purchased power, and renewable resources. In this circumstance, however, EPE will not be able to recover more than the reasonable costs associated with the PowerConnect Pilot Program.</w:t>
      </w:r>
      <w:r w:rsidR="00202971">
        <w:rPr>
          <w:rFonts w:cs="Times New Roman"/>
          <w:bCs/>
          <w:szCs w:val="24"/>
        </w:rPr>
        <w:t xml:space="preserve"> </w:t>
      </w:r>
    </w:p>
    <w:p w14:paraId="5BA7E313" w14:textId="65280FC9" w:rsidR="005D4806" w:rsidRDefault="005D4806" w:rsidP="00B5220C">
      <w:pPr>
        <w:pStyle w:val="ListParagraph"/>
        <w:ind w:firstLine="720"/>
        <w:jc w:val="both"/>
        <w:rPr>
          <w:rFonts w:cs="Times New Roman"/>
          <w:bCs/>
          <w:szCs w:val="24"/>
        </w:rPr>
      </w:pPr>
      <w:r>
        <w:rPr>
          <w:rFonts w:cs="Times New Roman"/>
          <w:szCs w:val="24"/>
        </w:rPr>
        <w:t>Separately, Staff excepts to the ALJs’ conclusion that EPE met its burden to show that the affected distribution system upgrades and improvements fall within the category of make-ready infrastructure</w:t>
      </w:r>
      <w:r w:rsidR="009D33DF">
        <w:rPr>
          <w:rFonts w:cs="Times New Roman"/>
          <w:szCs w:val="24"/>
        </w:rPr>
        <w:t>.</w:t>
      </w:r>
      <w:r w:rsidR="009D33DF">
        <w:rPr>
          <w:rStyle w:val="FootnoteReference"/>
          <w:rFonts w:cs="Times New Roman"/>
          <w:szCs w:val="24"/>
        </w:rPr>
        <w:footnoteReference w:id="62"/>
      </w:r>
      <w:r>
        <w:rPr>
          <w:rFonts w:cs="Times New Roman"/>
          <w:szCs w:val="24"/>
        </w:rPr>
        <w:t xml:space="preserve"> </w:t>
      </w:r>
      <w:r w:rsidR="007B7859">
        <w:rPr>
          <w:rFonts w:cs="Times New Roman"/>
          <w:szCs w:val="24"/>
        </w:rPr>
        <w:t>Specifically, by generally stating that the program offers rebate credits for “distribution system upgrades or improvements necessary to provide electric vehicle charging capabilities,”</w:t>
      </w:r>
      <w:r w:rsidR="007B7859">
        <w:rPr>
          <w:rStyle w:val="FootnoteReference"/>
          <w:rFonts w:cs="Times New Roman"/>
          <w:szCs w:val="24"/>
        </w:rPr>
        <w:footnoteReference w:id="63"/>
      </w:r>
      <w:r w:rsidR="00A26340">
        <w:rPr>
          <w:rFonts w:cs="Times New Roman"/>
          <w:szCs w:val="24"/>
        </w:rPr>
        <w:t xml:space="preserve"> EPE has failed to state whether such distribution system upgrades or improvements are limited site-specific electrical infrastructure, as required by PURA </w:t>
      </w:r>
      <w:r w:rsidR="00A26340" w:rsidRPr="00435CA7">
        <w:rPr>
          <w:rFonts w:cs="Times New Roman"/>
          <w:bCs/>
          <w:szCs w:val="24"/>
        </w:rPr>
        <w:t>§</w:t>
      </w:r>
      <w:r w:rsidR="00A26340">
        <w:rPr>
          <w:rFonts w:cs="Times New Roman"/>
          <w:bCs/>
          <w:szCs w:val="24"/>
        </w:rPr>
        <w:t xml:space="preserve"> 42.0102(6)(A).</w:t>
      </w:r>
    </w:p>
    <w:p w14:paraId="0060EECD" w14:textId="77777777" w:rsidR="00094D50" w:rsidRDefault="00094D50" w:rsidP="00B5220C">
      <w:pPr>
        <w:pStyle w:val="ListParagraph"/>
        <w:ind w:firstLine="720"/>
        <w:jc w:val="both"/>
        <w:rPr>
          <w:rFonts w:cs="Times New Roman"/>
          <w:szCs w:val="24"/>
        </w:rPr>
      </w:pPr>
    </w:p>
    <w:p w14:paraId="24DCBE97" w14:textId="7FE76FA0" w:rsidR="00151BC4" w:rsidRDefault="00151BC4" w:rsidP="00745D0A">
      <w:pPr>
        <w:pStyle w:val="Heading2"/>
        <w:numPr>
          <w:ilvl w:val="0"/>
          <w:numId w:val="4"/>
        </w:numPr>
        <w:spacing w:after="0"/>
      </w:pPr>
      <w:bookmarkStart w:id="8" w:name="_Toc164298055"/>
      <w:bookmarkEnd w:id="7"/>
      <w:r>
        <w:t>Cost Recovery</w:t>
      </w:r>
      <w:bookmarkEnd w:id="8"/>
    </w:p>
    <w:p w14:paraId="447EFF9D" w14:textId="43E1435F" w:rsidR="00BF1842" w:rsidRDefault="00DC72AB" w:rsidP="00B5220C">
      <w:pPr>
        <w:pStyle w:val="ListParagraph"/>
        <w:ind w:firstLine="720"/>
        <w:jc w:val="both"/>
        <w:rPr>
          <w:rFonts w:cs="Times New Roman"/>
          <w:bCs/>
          <w:szCs w:val="24"/>
        </w:rPr>
      </w:pPr>
      <w:r>
        <w:t>Staff except</w:t>
      </w:r>
      <w:r w:rsidR="004F6115">
        <w:t>s</w:t>
      </w:r>
      <w:r>
        <w:t xml:space="preserve"> to the ALJs’ determination to defer cost recovery to a future rate proceeding </w:t>
      </w:r>
      <w:r w:rsidR="004F6115">
        <w:t xml:space="preserve">despite Staff’s contention </w:t>
      </w:r>
      <w:r>
        <w:t xml:space="preserve">that the </w:t>
      </w:r>
      <w:r w:rsidR="004F6115">
        <w:t xml:space="preserve">PowerConnect </w:t>
      </w:r>
      <w:r w:rsidR="00447BD9">
        <w:t>Pilot P</w:t>
      </w:r>
      <w:r>
        <w:t xml:space="preserve">rogram does not comply with the requirements in PURA </w:t>
      </w:r>
      <w:r w:rsidRPr="00435CA7">
        <w:rPr>
          <w:rFonts w:cs="Times New Roman"/>
          <w:bCs/>
          <w:szCs w:val="24"/>
        </w:rPr>
        <w:t>§</w:t>
      </w:r>
      <w:r>
        <w:rPr>
          <w:rFonts w:cs="Times New Roman"/>
          <w:bCs/>
          <w:szCs w:val="24"/>
        </w:rPr>
        <w:t xml:space="preserve"> 36.003 and 16 TAC </w:t>
      </w:r>
      <w:r w:rsidRPr="00435CA7">
        <w:rPr>
          <w:rFonts w:cs="Times New Roman"/>
          <w:bCs/>
          <w:szCs w:val="24"/>
        </w:rPr>
        <w:t>§</w:t>
      </w:r>
      <w:r>
        <w:rPr>
          <w:rFonts w:cs="Times New Roman"/>
          <w:bCs/>
          <w:szCs w:val="24"/>
        </w:rPr>
        <w:t xml:space="preserve"> 25.234(a) that rates be based on cost.</w:t>
      </w:r>
      <w:r>
        <w:rPr>
          <w:rStyle w:val="FootnoteReference"/>
          <w:rFonts w:cs="Times New Roman"/>
          <w:bCs/>
          <w:szCs w:val="24"/>
        </w:rPr>
        <w:footnoteReference w:id="64"/>
      </w:r>
      <w:r w:rsidR="00A54430">
        <w:rPr>
          <w:rFonts w:cs="Times New Roman"/>
          <w:bCs/>
          <w:szCs w:val="24"/>
        </w:rPr>
        <w:t xml:space="preserve"> Specifically, because participating customers would not be required to pay for the costs that they are causing EPE to incur, the program improperly provides subsidies to participants</w:t>
      </w:r>
      <w:r w:rsidR="00193C3F">
        <w:rPr>
          <w:rFonts w:cs="Times New Roman"/>
          <w:bCs/>
          <w:szCs w:val="24"/>
        </w:rPr>
        <w:t xml:space="preserve"> in violation of PURA and Commission rules.</w:t>
      </w:r>
      <w:r w:rsidR="00193C3F">
        <w:rPr>
          <w:rStyle w:val="FootnoteReference"/>
          <w:rFonts w:cs="Times New Roman"/>
          <w:bCs/>
          <w:szCs w:val="24"/>
        </w:rPr>
        <w:footnoteReference w:id="65"/>
      </w:r>
      <w:r w:rsidR="00193C3F">
        <w:rPr>
          <w:rFonts w:cs="Times New Roman"/>
          <w:bCs/>
          <w:szCs w:val="24"/>
        </w:rPr>
        <w:t xml:space="preserve"> </w:t>
      </w:r>
      <w:r w:rsidR="00BF1842">
        <w:rPr>
          <w:rFonts w:cs="Times New Roman"/>
          <w:bCs/>
          <w:szCs w:val="24"/>
        </w:rPr>
        <w:t>And</w:t>
      </w:r>
      <w:r w:rsidR="00C46EA7">
        <w:rPr>
          <w:rFonts w:cs="Times New Roman"/>
          <w:bCs/>
          <w:szCs w:val="24"/>
        </w:rPr>
        <w:t xml:space="preserve"> </w:t>
      </w:r>
      <w:r w:rsidR="00BF1842">
        <w:rPr>
          <w:rFonts w:cs="Times New Roman"/>
          <w:bCs/>
          <w:szCs w:val="24"/>
        </w:rPr>
        <w:t>that the subsidies may benefit all customers, as suggested by EPE,</w:t>
      </w:r>
      <w:r w:rsidR="00BF1842">
        <w:rPr>
          <w:rStyle w:val="FootnoteReference"/>
          <w:rFonts w:cs="Times New Roman"/>
          <w:bCs/>
          <w:szCs w:val="24"/>
        </w:rPr>
        <w:footnoteReference w:id="66"/>
      </w:r>
      <w:r w:rsidR="00C46EA7">
        <w:rPr>
          <w:rFonts w:cs="Times New Roman"/>
          <w:bCs/>
          <w:szCs w:val="24"/>
        </w:rPr>
        <w:t xml:space="preserve"> does not mean that the Commission should not require direct assignment and allocations of costs based on cost causation and not receipt of benefits, as discussed above.</w:t>
      </w:r>
      <w:r w:rsidR="00C46EA7">
        <w:rPr>
          <w:rStyle w:val="FootnoteReference"/>
          <w:rFonts w:cs="Times New Roman"/>
          <w:bCs/>
          <w:szCs w:val="24"/>
        </w:rPr>
        <w:footnoteReference w:id="67"/>
      </w:r>
    </w:p>
    <w:p w14:paraId="0991720E" w14:textId="1050951B" w:rsidR="00745D0A" w:rsidRDefault="00193C3F" w:rsidP="00B5220C">
      <w:pPr>
        <w:pStyle w:val="ListParagraph"/>
        <w:ind w:firstLine="720"/>
        <w:jc w:val="both"/>
      </w:pPr>
      <w:r>
        <w:rPr>
          <w:rFonts w:cs="Times New Roman"/>
          <w:bCs/>
          <w:szCs w:val="24"/>
        </w:rPr>
        <w:t>I</w:t>
      </w:r>
      <w:r w:rsidR="00A54430">
        <w:rPr>
          <w:rFonts w:cs="Times New Roman"/>
          <w:bCs/>
          <w:szCs w:val="24"/>
        </w:rPr>
        <w:t>n addition</w:t>
      </w:r>
      <w:r w:rsidR="00BF1842">
        <w:rPr>
          <w:rFonts w:cs="Times New Roman"/>
          <w:bCs/>
          <w:szCs w:val="24"/>
        </w:rPr>
        <w:t xml:space="preserve"> to EPE’s proposed subsidies</w:t>
      </w:r>
      <w:r w:rsidR="00566805">
        <w:rPr>
          <w:rFonts w:cs="Times New Roman"/>
          <w:bCs/>
          <w:szCs w:val="24"/>
        </w:rPr>
        <w:t>,</w:t>
      </w:r>
      <w:r w:rsidR="00A54430">
        <w:rPr>
          <w:rFonts w:cs="Times New Roman"/>
          <w:bCs/>
          <w:szCs w:val="24"/>
        </w:rPr>
        <w:t xml:space="preserve"> the</w:t>
      </w:r>
      <w:r>
        <w:rPr>
          <w:rFonts w:cs="Times New Roman"/>
          <w:bCs/>
          <w:szCs w:val="24"/>
        </w:rPr>
        <w:t>re are</w:t>
      </w:r>
      <w:r w:rsidR="00A54430">
        <w:rPr>
          <w:rFonts w:cs="Times New Roman"/>
          <w:bCs/>
          <w:szCs w:val="24"/>
        </w:rPr>
        <w:t xml:space="preserve"> state and federal subsidies already available to potential participants</w:t>
      </w:r>
      <w:r>
        <w:rPr>
          <w:rFonts w:cs="Times New Roman"/>
          <w:bCs/>
          <w:szCs w:val="24"/>
        </w:rPr>
        <w:t xml:space="preserve">, such that adding another subsidy through EPE’s PowerConnect </w:t>
      </w:r>
      <w:r w:rsidR="00447BD9">
        <w:rPr>
          <w:rFonts w:cs="Times New Roman"/>
          <w:bCs/>
          <w:szCs w:val="24"/>
        </w:rPr>
        <w:lastRenderedPageBreak/>
        <w:t xml:space="preserve">Pilot </w:t>
      </w:r>
      <w:r>
        <w:rPr>
          <w:rFonts w:cs="Times New Roman"/>
          <w:bCs/>
          <w:szCs w:val="24"/>
        </w:rPr>
        <w:t>Program may lead to over-investment in EV-related infrastructure and costs that is likely to eventually harm the broader body of ratepayers.</w:t>
      </w:r>
      <w:r>
        <w:rPr>
          <w:rStyle w:val="FootnoteReference"/>
          <w:rFonts w:cs="Times New Roman"/>
          <w:bCs/>
          <w:szCs w:val="24"/>
        </w:rPr>
        <w:footnoteReference w:id="68"/>
      </w:r>
      <w:r w:rsidR="005B195D">
        <w:rPr>
          <w:rFonts w:cs="Times New Roman"/>
          <w:bCs/>
          <w:szCs w:val="24"/>
        </w:rPr>
        <w:t xml:space="preserve"> Ultimately, EPE failed to demonstrate that </w:t>
      </w:r>
      <w:r w:rsidR="005B195D" w:rsidRPr="008C2C9E">
        <w:rPr>
          <w:rFonts w:cs="Times New Roman"/>
          <w:bCs/>
          <w:szCs w:val="24"/>
        </w:rPr>
        <w:t xml:space="preserve">adopting the PowerConnect </w:t>
      </w:r>
      <w:r w:rsidR="00B6565D">
        <w:rPr>
          <w:rFonts w:cs="Times New Roman"/>
          <w:bCs/>
          <w:szCs w:val="24"/>
        </w:rPr>
        <w:t xml:space="preserve">Pilot </w:t>
      </w:r>
      <w:r w:rsidR="005B195D" w:rsidRPr="008C2C9E">
        <w:rPr>
          <w:rFonts w:cs="Times New Roman"/>
          <w:bCs/>
          <w:szCs w:val="24"/>
        </w:rPr>
        <w:t xml:space="preserve">Program helps to provide </w:t>
      </w:r>
      <w:r w:rsidR="005B195D">
        <w:rPr>
          <w:rFonts w:cs="Times New Roman"/>
          <w:bCs/>
          <w:szCs w:val="24"/>
        </w:rPr>
        <w:t>ade</w:t>
      </w:r>
      <w:r w:rsidR="005B195D" w:rsidRPr="008C2C9E">
        <w:rPr>
          <w:rFonts w:cs="Times New Roman"/>
          <w:bCs/>
          <w:szCs w:val="24"/>
        </w:rPr>
        <w:t>quate electric service instead of merely promoting EV adoption through subsidies provided to program participants at the expense of other ratepayers.</w:t>
      </w:r>
      <w:r w:rsidR="005B195D">
        <w:rPr>
          <w:rStyle w:val="FootnoteReference"/>
          <w:rFonts w:cs="Times New Roman"/>
          <w:bCs/>
          <w:szCs w:val="24"/>
        </w:rPr>
        <w:footnoteReference w:id="69"/>
      </w:r>
      <w:r w:rsidR="00BF1842">
        <w:rPr>
          <w:rFonts w:cs="Times New Roman"/>
          <w:bCs/>
          <w:szCs w:val="24"/>
        </w:rPr>
        <w:t xml:space="preserve"> </w:t>
      </w:r>
    </w:p>
    <w:p w14:paraId="5B3730BF" w14:textId="77777777" w:rsidR="00DC72AB" w:rsidRPr="00745D0A" w:rsidRDefault="00DC72AB" w:rsidP="00B5220C">
      <w:pPr>
        <w:pStyle w:val="ListParagraph"/>
        <w:ind w:firstLine="720"/>
        <w:jc w:val="both"/>
      </w:pPr>
    </w:p>
    <w:p w14:paraId="43886B6A" w14:textId="05CE5E11" w:rsidR="00151BC4" w:rsidRDefault="00745D0A" w:rsidP="00745D0A">
      <w:pPr>
        <w:pStyle w:val="Heading2"/>
        <w:numPr>
          <w:ilvl w:val="0"/>
          <w:numId w:val="4"/>
        </w:numPr>
        <w:spacing w:after="0"/>
      </w:pPr>
      <w:r>
        <w:t>Effect on Non-Participating Customers</w:t>
      </w:r>
    </w:p>
    <w:p w14:paraId="11296461" w14:textId="1EB103C9" w:rsidR="00BB136E" w:rsidRDefault="005C23C0" w:rsidP="00B5220C">
      <w:pPr>
        <w:pStyle w:val="ListParagraph"/>
        <w:ind w:firstLine="720"/>
        <w:jc w:val="both"/>
        <w:rPr>
          <w:rFonts w:cs="Times New Roman"/>
          <w:szCs w:val="24"/>
        </w:rPr>
      </w:pPr>
      <w:r>
        <w:rPr>
          <w:rFonts w:cs="Times New Roman"/>
          <w:szCs w:val="24"/>
        </w:rPr>
        <w:t xml:space="preserve">Staff excepts to the ALJs’ finding that there is no immediate impact to rate base at this time and </w:t>
      </w:r>
      <w:r w:rsidR="004E2B44">
        <w:rPr>
          <w:rFonts w:cs="Times New Roman"/>
          <w:szCs w:val="24"/>
        </w:rPr>
        <w:t xml:space="preserve">that </w:t>
      </w:r>
      <w:r>
        <w:rPr>
          <w:rFonts w:cs="Times New Roman"/>
          <w:szCs w:val="24"/>
        </w:rPr>
        <w:t>it is premature to determine such impacts at this time.</w:t>
      </w:r>
      <w:r>
        <w:rPr>
          <w:rStyle w:val="FootnoteReference"/>
          <w:rFonts w:cs="Times New Roman"/>
          <w:szCs w:val="24"/>
        </w:rPr>
        <w:footnoteReference w:id="70"/>
      </w:r>
      <w:r w:rsidR="00C07489">
        <w:rPr>
          <w:rFonts w:cs="Times New Roman"/>
          <w:szCs w:val="24"/>
        </w:rPr>
        <w:t xml:space="preserve"> Conversely, the preliminary order in this proceeding </w:t>
      </w:r>
      <w:r w:rsidR="00566805">
        <w:rPr>
          <w:rFonts w:cs="Times New Roman"/>
          <w:szCs w:val="24"/>
        </w:rPr>
        <w:t>required SOAH to address the impacts on current customers who subscribe to the program and those who do not subscribe if the program is approved.</w:t>
      </w:r>
      <w:r w:rsidR="00566805">
        <w:rPr>
          <w:rStyle w:val="FootnoteReference"/>
          <w:rFonts w:cs="Times New Roman"/>
          <w:szCs w:val="24"/>
        </w:rPr>
        <w:footnoteReference w:id="71"/>
      </w:r>
      <w:r w:rsidR="00DB4A28">
        <w:rPr>
          <w:rFonts w:cs="Times New Roman"/>
          <w:szCs w:val="24"/>
        </w:rPr>
        <w:t xml:space="preserve"> Further, by not determining </w:t>
      </w:r>
      <w:r w:rsidR="002A25CB">
        <w:rPr>
          <w:rFonts w:cs="Times New Roman"/>
          <w:szCs w:val="24"/>
        </w:rPr>
        <w:t xml:space="preserve">the </w:t>
      </w:r>
      <w:r w:rsidR="00DB4A28">
        <w:rPr>
          <w:rFonts w:cs="Times New Roman"/>
          <w:szCs w:val="24"/>
        </w:rPr>
        <w:t>appropriate cost recovery at this time, there is no guarantee that the Commission or parties in a future rate proceeding will be able to sufficiently review costs from this program and ensure that customer</w:t>
      </w:r>
      <w:r w:rsidR="006A6295">
        <w:rPr>
          <w:rFonts w:cs="Times New Roman"/>
          <w:szCs w:val="24"/>
        </w:rPr>
        <w:t>s</w:t>
      </w:r>
      <w:r w:rsidR="00DB4A28">
        <w:rPr>
          <w:rFonts w:cs="Times New Roman"/>
          <w:szCs w:val="24"/>
        </w:rPr>
        <w:t xml:space="preserve"> who have not subscribed are not unreasonably affected by approval of the program.</w:t>
      </w:r>
      <w:r w:rsidR="00DB4A28">
        <w:rPr>
          <w:rStyle w:val="FootnoteReference"/>
          <w:rFonts w:cs="Times New Roman"/>
          <w:szCs w:val="24"/>
        </w:rPr>
        <w:footnoteReference w:id="72"/>
      </w:r>
      <w:r w:rsidR="006A6295">
        <w:rPr>
          <w:rFonts w:cs="Times New Roman"/>
          <w:szCs w:val="24"/>
        </w:rPr>
        <w:t xml:space="preserve"> </w:t>
      </w:r>
    </w:p>
    <w:p w14:paraId="14212180" w14:textId="71BAC867" w:rsidR="00B6565D" w:rsidRDefault="008027D4" w:rsidP="00B5220C">
      <w:pPr>
        <w:pStyle w:val="ListParagraph"/>
        <w:ind w:firstLine="720"/>
        <w:jc w:val="both"/>
        <w:rPr>
          <w:rFonts w:cs="Times New Roman"/>
          <w:bCs/>
          <w:szCs w:val="24"/>
        </w:rPr>
      </w:pPr>
      <w:r>
        <w:rPr>
          <w:rFonts w:cs="Times New Roman"/>
          <w:szCs w:val="24"/>
        </w:rPr>
        <w:t>Instead</w:t>
      </w:r>
      <w:r w:rsidR="006A6295">
        <w:rPr>
          <w:rFonts w:cs="Times New Roman"/>
          <w:szCs w:val="24"/>
        </w:rPr>
        <w:t xml:space="preserve">, in lieu of approving the PowerConnect </w:t>
      </w:r>
      <w:r w:rsidR="00447BD9">
        <w:rPr>
          <w:rFonts w:cs="Times New Roman"/>
          <w:szCs w:val="24"/>
        </w:rPr>
        <w:t>Pilot P</w:t>
      </w:r>
      <w:r w:rsidR="006A6295">
        <w:rPr>
          <w:rFonts w:cs="Times New Roman"/>
          <w:szCs w:val="24"/>
        </w:rPr>
        <w:t xml:space="preserve">rogram in this proceeding, </w:t>
      </w:r>
      <w:r w:rsidR="006A6295">
        <w:rPr>
          <w:rFonts w:cs="Times New Roman"/>
          <w:bCs/>
          <w:szCs w:val="24"/>
        </w:rPr>
        <w:t>it would be more reasonable to require EPE to establish a separate EV rate class to 1) prevent the risk of the Commission becoming overburdened by a review of EV-related costs amongst other</w:t>
      </w:r>
      <w:r w:rsidR="001E36FD">
        <w:rPr>
          <w:rFonts w:cs="Times New Roman"/>
          <w:bCs/>
          <w:szCs w:val="24"/>
        </w:rPr>
        <w:t xml:space="preserve"> costs</w:t>
      </w:r>
      <w:r w:rsidR="006A6295">
        <w:rPr>
          <w:rFonts w:cs="Times New Roman"/>
          <w:bCs/>
          <w:szCs w:val="24"/>
        </w:rPr>
        <w:t xml:space="preserve"> in a future rate proceeding and 2) address EPE’s concerns </w:t>
      </w:r>
      <w:r w:rsidR="001E36FD">
        <w:rPr>
          <w:rFonts w:cs="Times New Roman"/>
          <w:bCs/>
          <w:szCs w:val="24"/>
        </w:rPr>
        <w:t xml:space="preserve">in this proceeding or a future rate proceeding </w:t>
      </w:r>
      <w:r w:rsidR="006A6295">
        <w:rPr>
          <w:rFonts w:cs="Times New Roman"/>
          <w:bCs/>
          <w:szCs w:val="24"/>
        </w:rPr>
        <w:t xml:space="preserve">with any potential requirement that EPE must recover the program costs from </w:t>
      </w:r>
      <w:r w:rsidR="001E36FD">
        <w:rPr>
          <w:rFonts w:cs="Times New Roman"/>
          <w:bCs/>
          <w:szCs w:val="24"/>
        </w:rPr>
        <w:t xml:space="preserve">only </w:t>
      </w:r>
      <w:r w:rsidR="006A6295">
        <w:rPr>
          <w:rFonts w:cs="Times New Roman"/>
          <w:bCs/>
          <w:szCs w:val="24"/>
        </w:rPr>
        <w:t>participating customers.</w:t>
      </w:r>
      <w:r w:rsidR="006A6295">
        <w:rPr>
          <w:rStyle w:val="FootnoteReference"/>
          <w:rFonts w:cs="Times New Roman"/>
          <w:bCs/>
          <w:szCs w:val="24"/>
        </w:rPr>
        <w:footnoteReference w:id="73"/>
      </w:r>
      <w:r w:rsidR="00D32977">
        <w:rPr>
          <w:rFonts w:cs="Times New Roman"/>
          <w:bCs/>
          <w:szCs w:val="24"/>
        </w:rPr>
        <w:t xml:space="preserve"> Regarding the latter</w:t>
      </w:r>
      <w:r w:rsidR="00C46EA7">
        <w:rPr>
          <w:rFonts w:cs="Times New Roman"/>
          <w:bCs/>
          <w:szCs w:val="24"/>
        </w:rPr>
        <w:t>, a separate EV rate class would include both residential and non-residential customers that are separately eligible for EPE’s various programs and tariffs</w:t>
      </w:r>
      <w:r w:rsidR="00CB6A8E">
        <w:rPr>
          <w:rFonts w:cs="Times New Roman"/>
          <w:bCs/>
          <w:szCs w:val="24"/>
        </w:rPr>
        <w:t xml:space="preserve">. </w:t>
      </w:r>
    </w:p>
    <w:p w14:paraId="35D53B48" w14:textId="289E21AB" w:rsidR="009601B9" w:rsidRPr="00A7164A" w:rsidRDefault="009601B9" w:rsidP="00B5220C">
      <w:pPr>
        <w:pStyle w:val="ListParagraph"/>
        <w:ind w:firstLine="720"/>
        <w:jc w:val="both"/>
        <w:rPr>
          <w:rFonts w:cs="Times New Roman"/>
          <w:szCs w:val="24"/>
        </w:rPr>
      </w:pPr>
    </w:p>
    <w:p w14:paraId="459E7129" w14:textId="3D50B5B2" w:rsidR="002E00C4" w:rsidRPr="00701B1B" w:rsidRDefault="00A6238D" w:rsidP="00745D0A">
      <w:pPr>
        <w:pStyle w:val="Heading2"/>
        <w:numPr>
          <w:ilvl w:val="0"/>
          <w:numId w:val="6"/>
        </w:numPr>
        <w:spacing w:after="0"/>
        <w:ind w:hanging="720"/>
        <w:jc w:val="left"/>
        <w:rPr>
          <w:caps/>
          <w:szCs w:val="18"/>
        </w:rPr>
      </w:pPr>
      <w:bookmarkStart w:id="9" w:name="_Toc164298057"/>
      <w:r>
        <w:rPr>
          <w:b/>
          <w:bCs/>
          <w:szCs w:val="18"/>
        </w:rPr>
        <w:lastRenderedPageBreak/>
        <w:t>Take Charge TX Pilot Program</w:t>
      </w:r>
      <w:bookmarkEnd w:id="9"/>
    </w:p>
    <w:p w14:paraId="5E9BB4B6" w14:textId="4754104E" w:rsidR="00151BC4" w:rsidRDefault="00745D0A" w:rsidP="00745D0A">
      <w:pPr>
        <w:pStyle w:val="Heading2"/>
        <w:numPr>
          <w:ilvl w:val="0"/>
          <w:numId w:val="5"/>
        </w:numPr>
        <w:spacing w:after="0"/>
        <w:rPr>
          <w:bCs/>
        </w:rPr>
      </w:pPr>
      <w:r>
        <w:t xml:space="preserve">Site Hosting Agreement – PURA </w:t>
      </w:r>
      <w:r w:rsidRPr="00435CA7">
        <w:rPr>
          <w:bCs/>
        </w:rPr>
        <w:t>§</w:t>
      </w:r>
      <w:r>
        <w:rPr>
          <w:bCs/>
        </w:rPr>
        <w:t xml:space="preserve"> 42.0103(o)</w:t>
      </w:r>
    </w:p>
    <w:p w14:paraId="1AD5D9CB" w14:textId="7FC0E35D" w:rsidR="00745D0A" w:rsidRDefault="008503FD" w:rsidP="00B5220C">
      <w:pPr>
        <w:pStyle w:val="ListParagraph"/>
        <w:ind w:firstLine="720"/>
        <w:jc w:val="both"/>
        <w:rPr>
          <w:bCs/>
        </w:rPr>
      </w:pPr>
      <w:r>
        <w:t xml:space="preserve">Staff agrees with the ALJs’ conclusions that the TCTX Pilot Program only complies with PURA </w:t>
      </w:r>
      <w:r w:rsidRPr="00435CA7">
        <w:rPr>
          <w:rFonts w:cs="Times New Roman"/>
          <w:bCs/>
          <w:szCs w:val="24"/>
        </w:rPr>
        <w:t>§</w:t>
      </w:r>
      <w:r>
        <w:rPr>
          <w:bCs/>
        </w:rPr>
        <w:t xml:space="preserve"> 42.0103(o) to the extent that it is used for agreements to develop public EV charging stations, but does </w:t>
      </w:r>
      <w:r w:rsidR="00AE4AB5">
        <w:rPr>
          <w:bCs/>
        </w:rPr>
        <w:t xml:space="preserve">not </w:t>
      </w:r>
      <w:r>
        <w:rPr>
          <w:bCs/>
        </w:rPr>
        <w:t>comply to the extent a customer does not make the charging station available for commercial use by the public</w:t>
      </w:r>
      <w:r w:rsidR="00AE4AB5">
        <w:rPr>
          <w:bCs/>
        </w:rPr>
        <w:t>.</w:t>
      </w:r>
      <w:r w:rsidR="00AE4AB5">
        <w:rPr>
          <w:rStyle w:val="FootnoteReference"/>
          <w:bCs/>
        </w:rPr>
        <w:footnoteReference w:id="74"/>
      </w:r>
      <w:r w:rsidR="00AE4AB5">
        <w:rPr>
          <w:bCs/>
        </w:rPr>
        <w:t xml:space="preserve"> </w:t>
      </w:r>
      <w:r w:rsidR="00D14FBB">
        <w:rPr>
          <w:bCs/>
        </w:rPr>
        <w:t xml:space="preserve">Further, Staff agrees that, in regard to non-public EV charging stations, ownership of such facilities and infrastructure </w:t>
      </w:r>
      <w:r w:rsidR="000C5E9D">
        <w:rPr>
          <w:bCs/>
        </w:rPr>
        <w:t xml:space="preserve">should </w:t>
      </w:r>
      <w:r w:rsidR="00D14FBB">
        <w:rPr>
          <w:bCs/>
        </w:rPr>
        <w:t>be left to the competitive private market.</w:t>
      </w:r>
      <w:r w:rsidR="00D14FBB">
        <w:rPr>
          <w:rStyle w:val="FootnoteReference"/>
          <w:bCs/>
        </w:rPr>
        <w:footnoteReference w:id="75"/>
      </w:r>
      <w:r w:rsidR="000C5E9D">
        <w:rPr>
          <w:bCs/>
        </w:rPr>
        <w:t xml:space="preserve"> In contrast, allowing EPE to offer the TCTX Pilot Program to such customers would allow EPE to inappropriately provide a competitive service in a manner not authorized by Chapter 42 of PURA.</w:t>
      </w:r>
      <w:r w:rsidR="000C5E9D">
        <w:rPr>
          <w:rStyle w:val="FootnoteReference"/>
          <w:bCs/>
        </w:rPr>
        <w:footnoteReference w:id="76"/>
      </w:r>
    </w:p>
    <w:p w14:paraId="065F23FB" w14:textId="04D76987" w:rsidR="00447BD9" w:rsidRDefault="005667B7" w:rsidP="00B5220C">
      <w:pPr>
        <w:pStyle w:val="ListParagraph"/>
        <w:ind w:firstLine="720"/>
        <w:jc w:val="both"/>
        <w:rPr>
          <w:bCs/>
        </w:rPr>
      </w:pPr>
      <w:r>
        <w:rPr>
          <w:bCs/>
        </w:rPr>
        <w:t>T</w:t>
      </w:r>
      <w:r w:rsidR="00447BD9">
        <w:rPr>
          <w:bCs/>
        </w:rPr>
        <w:t>he PFD</w:t>
      </w:r>
      <w:r>
        <w:rPr>
          <w:bCs/>
        </w:rPr>
        <w:t>, however,</w:t>
      </w:r>
      <w:r w:rsidR="00447BD9">
        <w:rPr>
          <w:bCs/>
        </w:rPr>
        <w:t xml:space="preserve"> does not include a </w:t>
      </w:r>
      <w:r>
        <w:rPr>
          <w:bCs/>
        </w:rPr>
        <w:t xml:space="preserve">proposed </w:t>
      </w:r>
      <w:r w:rsidR="00447BD9">
        <w:rPr>
          <w:bCs/>
        </w:rPr>
        <w:t xml:space="preserve">finding of fact </w:t>
      </w:r>
      <w:r>
        <w:rPr>
          <w:bCs/>
        </w:rPr>
        <w:t xml:space="preserve">related to this conclusion </w:t>
      </w:r>
      <w:r w:rsidR="00447BD9">
        <w:rPr>
          <w:bCs/>
        </w:rPr>
        <w:t xml:space="preserve">for the TCTX Pilot Program. Accordingly, Staff recommends that, to the extent </w:t>
      </w:r>
      <w:r w:rsidR="00094D50">
        <w:rPr>
          <w:bCs/>
        </w:rPr>
        <w:t xml:space="preserve">that </w:t>
      </w:r>
      <w:r w:rsidR="00447BD9">
        <w:rPr>
          <w:bCs/>
        </w:rPr>
        <w:t xml:space="preserve">Staff’s exceptions </w:t>
      </w:r>
      <w:r w:rsidR="00094D50">
        <w:rPr>
          <w:bCs/>
        </w:rPr>
        <w:t xml:space="preserve">to </w:t>
      </w:r>
      <w:r w:rsidR="00447BD9">
        <w:rPr>
          <w:bCs/>
        </w:rPr>
        <w:t>the overall approval of the TCTX Pilot Program</w:t>
      </w:r>
      <w:r w:rsidR="00094D50">
        <w:rPr>
          <w:bCs/>
        </w:rPr>
        <w:t xml:space="preserve"> are not granted</w:t>
      </w:r>
      <w:r w:rsidR="00447BD9">
        <w:rPr>
          <w:bCs/>
        </w:rPr>
        <w:t>, the ALJ</w:t>
      </w:r>
      <w:r w:rsidR="00A959E6">
        <w:rPr>
          <w:bCs/>
        </w:rPr>
        <w:t>s</w:t>
      </w:r>
      <w:r w:rsidR="00447BD9">
        <w:rPr>
          <w:bCs/>
        </w:rPr>
        <w:t xml:space="preserve"> include a finding of fact stating that </w:t>
      </w:r>
      <w:r w:rsidR="00C91E2B">
        <w:rPr>
          <w:bCs/>
        </w:rPr>
        <w:t>EPE may not offer the TCTX Pilot Program to customers that will only be using non-public EV charging stations</w:t>
      </w:r>
      <w:r w:rsidR="00447BD9">
        <w:rPr>
          <w:bCs/>
        </w:rPr>
        <w:t xml:space="preserve">. </w:t>
      </w:r>
    </w:p>
    <w:p w14:paraId="2F00BE21" w14:textId="77777777" w:rsidR="000C5E9D" w:rsidRPr="00745D0A" w:rsidRDefault="000C5E9D" w:rsidP="00B5220C">
      <w:pPr>
        <w:pStyle w:val="ListParagraph"/>
        <w:ind w:firstLine="720"/>
        <w:jc w:val="both"/>
      </w:pPr>
    </w:p>
    <w:p w14:paraId="167092B8" w14:textId="472B27AF" w:rsidR="00151BC4" w:rsidRDefault="00745D0A" w:rsidP="00745D0A">
      <w:pPr>
        <w:pStyle w:val="Heading2"/>
        <w:numPr>
          <w:ilvl w:val="0"/>
          <w:numId w:val="5"/>
        </w:numPr>
        <w:spacing w:after="0"/>
      </w:pPr>
      <w:r>
        <w:t>Rates</w:t>
      </w:r>
    </w:p>
    <w:p w14:paraId="7B3DB3D4" w14:textId="44226C75" w:rsidR="006B141B" w:rsidRDefault="00447BD9" w:rsidP="00B5220C">
      <w:pPr>
        <w:pStyle w:val="ListParagraph"/>
        <w:ind w:firstLine="720"/>
        <w:jc w:val="both"/>
        <w:rPr>
          <w:rFonts w:cs="Times New Roman"/>
          <w:bCs/>
          <w:szCs w:val="24"/>
          <w:lang w:val="x-none"/>
        </w:rPr>
      </w:pPr>
      <w:r>
        <w:rPr>
          <w:rFonts w:cs="Times New Roman"/>
          <w:bCs/>
          <w:szCs w:val="24"/>
        </w:rPr>
        <w:t>Staff excepts to the ALJs’ conclusion that the T</w:t>
      </w:r>
      <w:r w:rsidR="005667B7">
        <w:rPr>
          <w:rFonts w:cs="Times New Roman"/>
          <w:bCs/>
          <w:szCs w:val="24"/>
        </w:rPr>
        <w:t>C</w:t>
      </w:r>
      <w:r>
        <w:rPr>
          <w:rFonts w:cs="Times New Roman"/>
          <w:bCs/>
          <w:szCs w:val="24"/>
        </w:rPr>
        <w:t xml:space="preserve">TX Pilot Program and tariff reasonably balances clarity, transparency, and the full-cost-recovery requirements of PURA </w:t>
      </w:r>
      <w:r w:rsidR="00F136BF" w:rsidRPr="00435CA7">
        <w:rPr>
          <w:rFonts w:cs="Times New Roman"/>
          <w:bCs/>
          <w:szCs w:val="24"/>
        </w:rPr>
        <w:t>§</w:t>
      </w:r>
      <w:r w:rsidR="00F136BF">
        <w:rPr>
          <w:rFonts w:cs="Times New Roman"/>
          <w:bCs/>
          <w:szCs w:val="24"/>
        </w:rPr>
        <w:t> 42.0103(p)(2).</w:t>
      </w:r>
      <w:r w:rsidR="00F136BF">
        <w:rPr>
          <w:rStyle w:val="FootnoteReference"/>
          <w:rFonts w:cs="Times New Roman"/>
          <w:bCs/>
          <w:szCs w:val="24"/>
        </w:rPr>
        <w:footnoteReference w:id="77"/>
      </w:r>
      <w:r w:rsidR="00F136BF">
        <w:rPr>
          <w:rFonts w:cs="Times New Roman"/>
          <w:bCs/>
          <w:szCs w:val="24"/>
        </w:rPr>
        <w:t xml:space="preserve"> </w:t>
      </w:r>
      <w:r w:rsidR="009054B9">
        <w:rPr>
          <w:rFonts w:cs="Times New Roman"/>
          <w:bCs/>
          <w:szCs w:val="24"/>
        </w:rPr>
        <w:t xml:space="preserve">Notably, </w:t>
      </w:r>
      <w:r w:rsidR="009054B9" w:rsidRPr="009054B9">
        <w:rPr>
          <w:rFonts w:cs="Times New Roman"/>
          <w:bCs/>
          <w:szCs w:val="24"/>
          <w:lang w:val="x-none"/>
        </w:rPr>
        <w:t>the requirement under PURA § 42.0103(p)(2) that the utility must only recover the costs of “owning, constructing, financing, or operating, and maintaining the public EV charging station” from the participating customer and not the utility</w:t>
      </w:r>
      <w:r w:rsidR="000307C2">
        <w:rPr>
          <w:rFonts w:cs="Times New Roman"/>
          <w:bCs/>
          <w:szCs w:val="24"/>
          <w:lang w:val="x-none"/>
        </w:rPr>
        <w:t>’</w:t>
      </w:r>
      <w:r w:rsidR="009054B9" w:rsidRPr="009054B9">
        <w:rPr>
          <w:rFonts w:cs="Times New Roman"/>
          <w:bCs/>
          <w:szCs w:val="24"/>
          <w:lang w:val="x-none"/>
        </w:rPr>
        <w:t>s other customers relates to the requirement under PURA § 42.1013(o)(3) that a tariff must provide for “full recovery of the costs of the public EV charging station” from the participating customer.</w:t>
      </w:r>
      <w:r w:rsidR="009054B9">
        <w:rPr>
          <w:rStyle w:val="FootnoteReference"/>
          <w:rFonts w:cs="Times New Roman"/>
          <w:bCs/>
          <w:szCs w:val="24"/>
          <w:lang w:val="x-none"/>
        </w:rPr>
        <w:footnoteReference w:id="78"/>
      </w:r>
      <w:r w:rsidR="009054B9" w:rsidRPr="009054B9">
        <w:rPr>
          <w:rFonts w:cs="Times New Roman"/>
          <w:bCs/>
          <w:szCs w:val="24"/>
          <w:lang w:val="x-none"/>
        </w:rPr>
        <w:t xml:space="preserve"> Accordingly,</w:t>
      </w:r>
      <w:r w:rsidR="009054B9">
        <w:rPr>
          <w:rFonts w:cs="Times New Roman"/>
          <w:bCs/>
          <w:szCs w:val="24"/>
          <w:lang w:val="x-none"/>
        </w:rPr>
        <w:t xml:space="preserve"> </w:t>
      </w:r>
      <w:r w:rsidR="009054B9" w:rsidRPr="009054B9">
        <w:rPr>
          <w:rFonts w:cs="Times New Roman"/>
          <w:bCs/>
          <w:szCs w:val="24"/>
          <w:lang w:val="x-none"/>
        </w:rPr>
        <w:t xml:space="preserve">“all </w:t>
      </w:r>
      <w:r w:rsidR="009054B9" w:rsidRPr="009054B9">
        <w:rPr>
          <w:rFonts w:cs="Times New Roman"/>
          <w:bCs/>
          <w:szCs w:val="24"/>
          <w:lang w:val="x-none"/>
        </w:rPr>
        <w:lastRenderedPageBreak/>
        <w:t xml:space="preserve">electric utility-related costs” include both TCTX </w:t>
      </w:r>
      <w:r w:rsidR="009054B9">
        <w:rPr>
          <w:rFonts w:cs="Times New Roman"/>
          <w:bCs/>
          <w:szCs w:val="24"/>
          <w:lang w:val="x-none"/>
        </w:rPr>
        <w:t xml:space="preserve">Pilot Program </w:t>
      </w:r>
      <w:r w:rsidR="009054B9" w:rsidRPr="009054B9">
        <w:rPr>
          <w:rFonts w:cs="Times New Roman"/>
          <w:bCs/>
          <w:szCs w:val="24"/>
          <w:lang w:val="x-none"/>
        </w:rPr>
        <w:t>related costs, as well costs associated with base rates and non-fuel firm rate schedules.</w:t>
      </w:r>
      <w:r w:rsidR="009054B9">
        <w:rPr>
          <w:rStyle w:val="FootnoteReference"/>
          <w:rFonts w:cs="Times New Roman"/>
          <w:bCs/>
          <w:szCs w:val="24"/>
          <w:lang w:val="x-none"/>
        </w:rPr>
        <w:footnoteReference w:id="79"/>
      </w:r>
      <w:r w:rsidR="009054B9" w:rsidRPr="009054B9">
        <w:rPr>
          <w:rFonts w:cs="Times New Roman"/>
          <w:bCs/>
          <w:szCs w:val="24"/>
          <w:lang w:val="x-none"/>
        </w:rPr>
        <w:t xml:space="preserve"> </w:t>
      </w:r>
    </w:p>
    <w:p w14:paraId="4137C5B8" w14:textId="77777777" w:rsidR="006B141B" w:rsidRDefault="009054B9" w:rsidP="5EC25313">
      <w:pPr>
        <w:pStyle w:val="ListParagraph"/>
        <w:ind w:firstLine="720"/>
        <w:jc w:val="both"/>
        <w:rPr>
          <w:rFonts w:cs="Times New Roman"/>
        </w:rPr>
      </w:pPr>
      <w:r w:rsidRPr="5EC25313">
        <w:rPr>
          <w:rFonts w:cs="Times New Roman"/>
        </w:rPr>
        <w:t>The Legislature would not have distinguished the two categories of costs for no reason, and it is contrary to the principles of statutory interpretation for EPE to equate the two.</w:t>
      </w:r>
      <w:r w:rsidRPr="5EC25313">
        <w:rPr>
          <w:rStyle w:val="FootnoteReference"/>
          <w:rFonts w:cs="Times New Roman"/>
        </w:rPr>
        <w:footnoteReference w:id="80"/>
      </w:r>
      <w:r w:rsidRPr="5EC25313">
        <w:rPr>
          <w:rFonts w:cs="Times New Roman"/>
        </w:rPr>
        <w:t xml:space="preserve"> Even if, assuming </w:t>
      </w:r>
      <w:r w:rsidRPr="5EC25313">
        <w:rPr>
          <w:rFonts w:cs="Times New Roman"/>
          <w:i/>
          <w:iCs/>
        </w:rPr>
        <w:t xml:space="preserve">arguendo, </w:t>
      </w:r>
      <w:r w:rsidRPr="5EC25313">
        <w:rPr>
          <w:rFonts w:cs="Times New Roman"/>
        </w:rPr>
        <w:t>EPE has appropriately characterized the electric utility-related costs, OPUC pointedly indicates that EPE’s proposal has not ensured that participating customers will pay an appropriate share of overhead and indirect and incremental costs that are being subsidized by all other customers but that will be necessary to serve only the participating customers.</w:t>
      </w:r>
      <w:r w:rsidRPr="5EC25313">
        <w:rPr>
          <w:rStyle w:val="FootnoteReference"/>
          <w:rFonts w:cs="Times New Roman"/>
        </w:rPr>
        <w:footnoteReference w:id="81"/>
      </w:r>
      <w:r w:rsidRPr="5EC25313">
        <w:rPr>
          <w:rFonts w:cs="Times New Roman"/>
        </w:rPr>
        <w:t xml:space="preserve"> In fact, that such costs are necessary to provide service to participating customers under the TCTX Pilot Program demonstrates that such costs should ultimately be recovered from only the participating customers rather than being subsidized by all of EPE’s customers.</w:t>
      </w:r>
      <w:r w:rsidRPr="5EC25313">
        <w:rPr>
          <w:rStyle w:val="FootnoteReference"/>
          <w:rFonts w:cs="Times New Roman"/>
        </w:rPr>
        <w:footnoteReference w:id="82"/>
      </w:r>
      <w:r w:rsidRPr="5EC25313">
        <w:rPr>
          <w:rFonts w:cs="Times New Roman"/>
        </w:rPr>
        <w:t xml:space="preserve"> Notably, such a finding would comport with cost causation principles and 16 TAC § 25.234(a).</w:t>
      </w:r>
      <w:r w:rsidRPr="5EC25313">
        <w:rPr>
          <w:rStyle w:val="FootnoteReference"/>
          <w:rFonts w:cs="Times New Roman"/>
        </w:rPr>
        <w:footnoteReference w:id="83"/>
      </w:r>
      <w:r w:rsidRPr="5EC25313">
        <w:rPr>
          <w:rFonts w:cs="Times New Roman"/>
        </w:rPr>
        <w:t xml:space="preserve"> </w:t>
      </w:r>
    </w:p>
    <w:p w14:paraId="5F2F12AB" w14:textId="601AC4E2" w:rsidR="00F64592" w:rsidRDefault="00D80465" w:rsidP="004643CE">
      <w:pPr>
        <w:pStyle w:val="ListParagraph"/>
        <w:ind w:firstLine="720"/>
        <w:jc w:val="both"/>
        <w:rPr>
          <w:rFonts w:cs="Times New Roman"/>
        </w:rPr>
      </w:pPr>
      <w:r>
        <w:rPr>
          <w:rFonts w:cs="Times New Roman"/>
          <w:bCs/>
          <w:szCs w:val="24"/>
          <w:lang w:val="x-none"/>
        </w:rPr>
        <w:t>N</w:t>
      </w:r>
      <w:r>
        <w:rPr>
          <w:rFonts w:cs="Times New Roman"/>
          <w:bCs/>
          <w:szCs w:val="24"/>
        </w:rPr>
        <w:t xml:space="preserve">otwithstanding the foregoing discussion demonstrating that the TCTX Pilot Program is, on its face, not based on cost causation principles, </w:t>
      </w:r>
      <w:r w:rsidR="00F136BF">
        <w:rPr>
          <w:rFonts w:cs="Times New Roman"/>
          <w:bCs/>
          <w:szCs w:val="24"/>
        </w:rPr>
        <w:t>the TCTX Pilot Program does not comply with Chapter 42 of PURA in terms of ensuring transparency in prices</w:t>
      </w:r>
      <w:r w:rsidR="006B141B">
        <w:rPr>
          <w:rFonts w:cs="Times New Roman"/>
          <w:bCs/>
          <w:szCs w:val="24"/>
        </w:rPr>
        <w:t xml:space="preserve">, </w:t>
      </w:r>
      <w:r w:rsidR="006B141B" w:rsidRPr="008C2C9E">
        <w:rPr>
          <w:rFonts w:cs="Times New Roman"/>
          <w:bCs/>
          <w:szCs w:val="24"/>
        </w:rPr>
        <w:t>because the</w:t>
      </w:r>
      <w:r w:rsidR="006B141B">
        <w:rPr>
          <w:rFonts w:cs="Times New Roman"/>
          <w:bCs/>
          <w:szCs w:val="24"/>
        </w:rPr>
        <w:t xml:space="preserve"> </w:t>
      </w:r>
      <w:r w:rsidR="006B141B" w:rsidRPr="008C2C9E">
        <w:rPr>
          <w:rFonts w:cs="Times New Roman"/>
          <w:bCs/>
          <w:szCs w:val="24"/>
        </w:rPr>
        <w:t>program relies on non-standard pricing tailored to individual customers for both the monthly charge, as well as the fixed</w:t>
      </w:r>
      <w:r w:rsidR="006B141B">
        <w:rPr>
          <w:rFonts w:cs="Times New Roman"/>
          <w:bCs/>
          <w:szCs w:val="24"/>
        </w:rPr>
        <w:t xml:space="preserve"> operations and maintenance</w:t>
      </w:r>
      <w:r w:rsidR="006B141B" w:rsidRPr="008C2C9E">
        <w:rPr>
          <w:rFonts w:cs="Times New Roman"/>
          <w:bCs/>
          <w:szCs w:val="24"/>
        </w:rPr>
        <w:t xml:space="preserve"> charge</w:t>
      </w:r>
      <w:r w:rsidR="00680742">
        <w:rPr>
          <w:rFonts w:cs="Times New Roman"/>
          <w:bCs/>
          <w:szCs w:val="24"/>
        </w:rPr>
        <w:t>.</w:t>
      </w:r>
      <w:r w:rsidR="009054B9">
        <w:rPr>
          <w:rStyle w:val="FootnoteReference"/>
          <w:rFonts w:cs="Times New Roman"/>
          <w:bCs/>
          <w:szCs w:val="24"/>
        </w:rPr>
        <w:footnoteReference w:id="84"/>
      </w:r>
      <w:r w:rsidR="009054B9">
        <w:rPr>
          <w:rFonts w:cs="Times New Roman"/>
          <w:bCs/>
          <w:szCs w:val="24"/>
        </w:rPr>
        <w:t xml:space="preserve"> </w:t>
      </w:r>
      <w:r w:rsidR="007B19D3">
        <w:rPr>
          <w:rFonts w:cs="Times New Roman"/>
          <w:bCs/>
          <w:szCs w:val="24"/>
        </w:rPr>
        <w:t>T</w:t>
      </w:r>
      <w:r w:rsidR="00680742">
        <w:rPr>
          <w:rFonts w:cs="Times New Roman"/>
          <w:bCs/>
          <w:szCs w:val="24"/>
        </w:rPr>
        <w:t xml:space="preserve">o comply with </w:t>
      </w:r>
      <w:r w:rsidR="00680742" w:rsidRPr="008C2C9E">
        <w:rPr>
          <w:rFonts w:cs="Times New Roman"/>
          <w:bCs/>
          <w:szCs w:val="24"/>
        </w:rPr>
        <w:t>PURA § 36.003</w:t>
      </w:r>
      <w:r w:rsidR="00680742">
        <w:rPr>
          <w:rFonts w:cs="Times New Roman"/>
          <w:bCs/>
          <w:szCs w:val="24"/>
        </w:rPr>
        <w:t xml:space="preserve"> and </w:t>
      </w:r>
      <w:r w:rsidR="00680742" w:rsidRPr="008C2C9E">
        <w:rPr>
          <w:rFonts w:cs="Times New Roman"/>
          <w:bCs/>
          <w:szCs w:val="24"/>
        </w:rPr>
        <w:t>16 TAC §</w:t>
      </w:r>
      <w:r w:rsidR="007B19D3">
        <w:rPr>
          <w:rFonts w:cs="Times New Roman"/>
          <w:bCs/>
          <w:szCs w:val="24"/>
        </w:rPr>
        <w:t> </w:t>
      </w:r>
      <w:r w:rsidR="00680742" w:rsidRPr="008C2C9E">
        <w:rPr>
          <w:rFonts w:cs="Times New Roman"/>
          <w:bCs/>
          <w:szCs w:val="24"/>
        </w:rPr>
        <w:t>25.234(a)</w:t>
      </w:r>
      <w:r w:rsidR="007B19D3">
        <w:rPr>
          <w:rFonts w:cs="Times New Roman"/>
          <w:bCs/>
          <w:szCs w:val="24"/>
        </w:rPr>
        <w:t>,</w:t>
      </w:r>
      <w:r w:rsidR="00680742">
        <w:rPr>
          <w:rFonts w:cs="Times New Roman"/>
          <w:bCs/>
          <w:szCs w:val="24"/>
        </w:rPr>
        <w:t xml:space="preserve"> </w:t>
      </w:r>
      <w:r w:rsidR="00680742" w:rsidRPr="008C2C9E">
        <w:rPr>
          <w:rFonts w:cs="Times New Roman"/>
          <w:bCs/>
          <w:szCs w:val="24"/>
        </w:rPr>
        <w:t>EPE</w:t>
      </w:r>
      <w:r w:rsidR="00680742">
        <w:rPr>
          <w:rFonts w:cs="Times New Roman"/>
          <w:bCs/>
          <w:szCs w:val="24"/>
        </w:rPr>
        <w:t>’</w:t>
      </w:r>
      <w:r w:rsidR="00680742" w:rsidRPr="008C2C9E">
        <w:rPr>
          <w:rFonts w:cs="Times New Roman"/>
          <w:bCs/>
          <w:szCs w:val="24"/>
        </w:rPr>
        <w:t>s rates must be examined to ensure they are just, reasonable, non-discriminatory,</w:t>
      </w:r>
      <w:r w:rsidR="00680742">
        <w:rPr>
          <w:rFonts w:cs="Times New Roman"/>
          <w:bCs/>
          <w:szCs w:val="24"/>
        </w:rPr>
        <w:t xml:space="preserve"> </w:t>
      </w:r>
      <w:r w:rsidR="00680742" w:rsidRPr="008C2C9E">
        <w:rPr>
          <w:rFonts w:cs="Times New Roman"/>
          <w:bCs/>
          <w:szCs w:val="24"/>
        </w:rPr>
        <w:t>non-preferential, and based on cost</w:t>
      </w:r>
      <w:r w:rsidR="007B19D3">
        <w:rPr>
          <w:rFonts w:cs="Times New Roman"/>
          <w:bCs/>
          <w:szCs w:val="24"/>
        </w:rPr>
        <w:t>.</w:t>
      </w:r>
      <w:r w:rsidR="007B19D3">
        <w:rPr>
          <w:rStyle w:val="FootnoteReference"/>
          <w:rFonts w:cs="Times New Roman"/>
          <w:bCs/>
          <w:szCs w:val="24"/>
        </w:rPr>
        <w:footnoteReference w:id="85"/>
      </w:r>
      <w:r w:rsidR="00680742">
        <w:rPr>
          <w:rFonts w:cs="Times New Roman"/>
          <w:bCs/>
          <w:szCs w:val="24"/>
        </w:rPr>
        <w:t xml:space="preserve"> EPE’s proposed </w:t>
      </w:r>
      <w:r w:rsidR="00680742" w:rsidRPr="008C2C9E">
        <w:rPr>
          <w:rFonts w:cs="Times New Roman"/>
          <w:bCs/>
          <w:szCs w:val="24"/>
        </w:rPr>
        <w:t>customer-specific pricing</w:t>
      </w:r>
      <w:r w:rsidR="007B19D3">
        <w:rPr>
          <w:rFonts w:cs="Times New Roman"/>
          <w:bCs/>
          <w:szCs w:val="24"/>
        </w:rPr>
        <w:t>, however,</w:t>
      </w:r>
      <w:r w:rsidR="00680742" w:rsidRPr="008C2C9E">
        <w:rPr>
          <w:rFonts w:cs="Times New Roman"/>
          <w:bCs/>
          <w:szCs w:val="24"/>
        </w:rPr>
        <w:t xml:space="preserve"> </w:t>
      </w:r>
      <w:r w:rsidR="00680742">
        <w:rPr>
          <w:rFonts w:cs="Times New Roman"/>
          <w:bCs/>
          <w:szCs w:val="24"/>
        </w:rPr>
        <w:t>would severely impair</w:t>
      </w:r>
      <w:r w:rsidR="00680742" w:rsidRPr="008C2C9E">
        <w:rPr>
          <w:rFonts w:cs="Times New Roman"/>
          <w:bCs/>
          <w:szCs w:val="24"/>
        </w:rPr>
        <w:t xml:space="preserve"> the ability of</w:t>
      </w:r>
      <w:r w:rsidR="00680742">
        <w:rPr>
          <w:rFonts w:cs="Times New Roman"/>
          <w:bCs/>
          <w:szCs w:val="24"/>
        </w:rPr>
        <w:t xml:space="preserve"> </w:t>
      </w:r>
      <w:r w:rsidR="00680742" w:rsidRPr="008C2C9E">
        <w:rPr>
          <w:rFonts w:cs="Times New Roman"/>
          <w:bCs/>
          <w:szCs w:val="24"/>
        </w:rPr>
        <w:t xml:space="preserve">the </w:t>
      </w:r>
      <w:r w:rsidR="00680742">
        <w:rPr>
          <w:rFonts w:cs="Times New Roman"/>
          <w:bCs/>
          <w:szCs w:val="24"/>
        </w:rPr>
        <w:t>C</w:t>
      </w:r>
      <w:r w:rsidR="00680742" w:rsidRPr="008C2C9E">
        <w:rPr>
          <w:rFonts w:cs="Times New Roman"/>
          <w:bCs/>
          <w:szCs w:val="24"/>
        </w:rPr>
        <w:t xml:space="preserve">ommission and intervenors to </w:t>
      </w:r>
      <w:r w:rsidR="00680742">
        <w:rPr>
          <w:rFonts w:cs="Times New Roman"/>
          <w:bCs/>
          <w:szCs w:val="24"/>
        </w:rPr>
        <w:t>f</w:t>
      </w:r>
      <w:r w:rsidR="00680742" w:rsidRPr="008C2C9E">
        <w:rPr>
          <w:rFonts w:cs="Times New Roman"/>
          <w:bCs/>
          <w:szCs w:val="24"/>
        </w:rPr>
        <w:t>ully evaluat</w:t>
      </w:r>
      <w:r w:rsidR="00680742">
        <w:rPr>
          <w:rFonts w:cs="Times New Roman"/>
          <w:bCs/>
          <w:szCs w:val="24"/>
        </w:rPr>
        <w:t>e</w:t>
      </w:r>
      <w:r w:rsidR="00680742" w:rsidRPr="008C2C9E">
        <w:rPr>
          <w:rFonts w:cs="Times New Roman"/>
          <w:bCs/>
          <w:szCs w:val="24"/>
        </w:rPr>
        <w:t xml:space="preserve"> EPE</w:t>
      </w:r>
      <w:r w:rsidR="00680742">
        <w:rPr>
          <w:rFonts w:cs="Times New Roman"/>
          <w:bCs/>
          <w:szCs w:val="24"/>
        </w:rPr>
        <w:t>’</w:t>
      </w:r>
      <w:r w:rsidR="00680742" w:rsidRPr="008C2C9E">
        <w:rPr>
          <w:rFonts w:cs="Times New Roman"/>
          <w:bCs/>
          <w:szCs w:val="24"/>
        </w:rPr>
        <w:t>s costs and revenues associated with</w:t>
      </w:r>
      <w:r w:rsidR="00680742">
        <w:rPr>
          <w:rFonts w:cs="Times New Roman"/>
          <w:bCs/>
          <w:szCs w:val="24"/>
        </w:rPr>
        <w:t xml:space="preserve"> </w:t>
      </w:r>
      <w:r w:rsidR="00680742" w:rsidRPr="008C2C9E">
        <w:rPr>
          <w:rFonts w:cs="Times New Roman"/>
          <w:bCs/>
          <w:szCs w:val="24"/>
        </w:rPr>
        <w:t xml:space="preserve">Schedule </w:t>
      </w:r>
      <w:r w:rsidR="007B19D3">
        <w:rPr>
          <w:rFonts w:cs="Times New Roman"/>
          <w:bCs/>
          <w:szCs w:val="24"/>
        </w:rPr>
        <w:t xml:space="preserve">No. </w:t>
      </w:r>
      <w:r w:rsidR="00680742" w:rsidRPr="008C2C9E">
        <w:rPr>
          <w:rFonts w:cs="Times New Roman"/>
          <w:bCs/>
          <w:szCs w:val="24"/>
        </w:rPr>
        <w:t>TCTX.</w:t>
      </w:r>
      <w:r w:rsidR="00680742">
        <w:rPr>
          <w:rStyle w:val="FootnoteReference"/>
          <w:rFonts w:cs="Times New Roman"/>
          <w:bCs/>
          <w:szCs w:val="24"/>
        </w:rPr>
        <w:footnoteReference w:id="86"/>
      </w:r>
      <w:r w:rsidR="00680742">
        <w:rPr>
          <w:rFonts w:cs="Times New Roman"/>
          <w:bCs/>
          <w:szCs w:val="24"/>
        </w:rPr>
        <w:t xml:space="preserve"> </w:t>
      </w:r>
      <w:r w:rsidR="6CB8A148" w:rsidRPr="6D4D77C6">
        <w:rPr>
          <w:rFonts w:cs="Times New Roman"/>
        </w:rPr>
        <w:t xml:space="preserve">Therefore, it would significantly interfere with the ability of the Commission and stakeholders to determine whether any undue cross-subsidization, or other form of discriminatory or preferential treatment, was occurring under the </w:t>
      </w:r>
      <w:r w:rsidR="6CB8A148" w:rsidRPr="6D4D77C6">
        <w:rPr>
          <w:rFonts w:cs="Times New Roman"/>
        </w:rPr>
        <w:lastRenderedPageBreak/>
        <w:t>application of Schedule TCTX.</w:t>
      </w:r>
      <w:r w:rsidR="00680742">
        <w:rPr>
          <w:rStyle w:val="FootnoteReference"/>
          <w:rFonts w:cs="Times New Roman"/>
          <w:bCs/>
          <w:szCs w:val="24"/>
        </w:rPr>
        <w:footnoteReference w:id="87"/>
      </w:r>
      <w:r w:rsidR="6CB8A148" w:rsidRPr="6D4D77C6">
        <w:rPr>
          <w:rFonts w:cs="Times New Roman"/>
        </w:rPr>
        <w:t xml:space="preserve"> </w:t>
      </w:r>
      <w:r w:rsidR="3C5C552C" w:rsidRPr="6D4D77C6">
        <w:rPr>
          <w:rFonts w:cs="Times New Roman"/>
        </w:rPr>
        <w:t xml:space="preserve">Instead, </w:t>
      </w:r>
      <w:r w:rsidR="6CB8A148" w:rsidRPr="6D4D77C6">
        <w:rPr>
          <w:rFonts w:cs="Times New Roman"/>
        </w:rPr>
        <w:t>Staff continues to believe that a more reasonable</w:t>
      </w:r>
      <w:r w:rsidR="55741BAB" w:rsidRPr="6D4D77C6">
        <w:rPr>
          <w:rFonts w:cs="Times New Roman"/>
        </w:rPr>
        <w:t xml:space="preserve"> </w:t>
      </w:r>
      <w:r w:rsidR="6CB8A148" w:rsidRPr="6D4D77C6">
        <w:rPr>
          <w:rFonts w:cs="Times New Roman"/>
        </w:rPr>
        <w:t>approach would be to establish a separate EV rate class similar to the manner in which lighting rates are treated.</w:t>
      </w:r>
      <w:r w:rsidR="00680742">
        <w:rPr>
          <w:rStyle w:val="FootnoteReference"/>
          <w:rFonts w:cs="Times New Roman"/>
          <w:bCs/>
          <w:szCs w:val="24"/>
        </w:rPr>
        <w:footnoteReference w:id="88"/>
      </w:r>
      <w:r w:rsidR="6CB8A148" w:rsidRPr="6D4D77C6">
        <w:rPr>
          <w:rFonts w:cs="Times New Roman"/>
        </w:rPr>
        <w:t xml:space="preserve"> EPE contends that Staff’s proposal would not account for variations in costs among program participants</w:t>
      </w:r>
      <w:r w:rsidR="3C5C552C" w:rsidRPr="6D4D77C6">
        <w:rPr>
          <w:rFonts w:cs="Times New Roman"/>
        </w:rPr>
        <w:t>, including accounting for inflation in charging station prices and ongoing changes in EV charging equipment technology</w:t>
      </w:r>
      <w:r w:rsidR="6CB8A148" w:rsidRPr="6D4D77C6">
        <w:rPr>
          <w:rFonts w:cs="Times New Roman"/>
        </w:rPr>
        <w:t>.</w:t>
      </w:r>
      <w:r w:rsidR="00680742">
        <w:rPr>
          <w:rStyle w:val="FootnoteReference"/>
          <w:rFonts w:cs="Times New Roman"/>
          <w:bCs/>
          <w:szCs w:val="24"/>
        </w:rPr>
        <w:footnoteReference w:id="89"/>
      </w:r>
      <w:r w:rsidR="6CB8A148" w:rsidRPr="6D4D77C6">
        <w:rPr>
          <w:rFonts w:cs="Times New Roman"/>
        </w:rPr>
        <w:t xml:space="preserve"> However, this assertion ignores the fact that Staff’s proposal would allow EPE the possibility of providing rate structures tailored to various EV customers, just li</w:t>
      </w:r>
      <w:r w:rsidR="3C5C552C" w:rsidRPr="6D4D77C6">
        <w:rPr>
          <w:rFonts w:cs="Times New Roman"/>
        </w:rPr>
        <w:t>ke</w:t>
      </w:r>
      <w:r w:rsidR="6CB8A148" w:rsidRPr="6D4D77C6">
        <w:rPr>
          <w:rFonts w:cs="Times New Roman"/>
        </w:rPr>
        <w:t xml:space="preserve"> EPE’s lighting class provides various rate options</w:t>
      </w:r>
      <w:r w:rsidR="3C5C552C" w:rsidRPr="6D4D77C6">
        <w:rPr>
          <w:rFonts w:cs="Times New Roman"/>
        </w:rPr>
        <w:t xml:space="preserve"> tailored to various lighting customers</w:t>
      </w:r>
      <w:r w:rsidR="5E97926F" w:rsidRPr="6D4D77C6">
        <w:rPr>
          <w:rFonts w:cs="Times New Roman"/>
        </w:rPr>
        <w:t xml:space="preserve"> despite ongoing inflation and changes in lighting equipment technology</w:t>
      </w:r>
      <w:r w:rsidR="6CB8A148" w:rsidRPr="6D4D77C6">
        <w:rPr>
          <w:rFonts w:cs="Times New Roman"/>
        </w:rPr>
        <w:t>.</w:t>
      </w:r>
      <w:r w:rsidR="00680742">
        <w:rPr>
          <w:rStyle w:val="FootnoteReference"/>
          <w:rFonts w:cs="Times New Roman"/>
          <w:bCs/>
          <w:szCs w:val="24"/>
        </w:rPr>
        <w:footnoteReference w:id="90"/>
      </w:r>
      <w:r w:rsidR="6CB8A148" w:rsidRPr="6D4D77C6">
        <w:rPr>
          <w:rFonts w:cs="Times New Roman"/>
        </w:rPr>
        <w:t xml:space="preserve"> EPE also fails to demonstrate how the effect of inflation in charging station prices and the ongoing changes in EV charging equipment technology differ in any meaningful way with the effect that inflation and technological innovation will have in every other facet of EPE’s provision of electric service. </w:t>
      </w:r>
    </w:p>
    <w:p w14:paraId="675BE959" w14:textId="5831E10C" w:rsidR="00F64592" w:rsidRDefault="00F64592" w:rsidP="00F64592">
      <w:pPr>
        <w:pStyle w:val="ListParagraph"/>
        <w:ind w:firstLine="720"/>
        <w:jc w:val="both"/>
        <w:rPr>
          <w:rFonts w:cs="Times New Roman"/>
          <w:bCs/>
          <w:szCs w:val="24"/>
          <w:lang w:val="x-none"/>
        </w:rPr>
      </w:pPr>
      <w:r>
        <w:rPr>
          <w:rFonts w:cs="Times New Roman"/>
          <w:bCs/>
          <w:szCs w:val="24"/>
        </w:rPr>
        <w:t>In turn, EPE disregards that,</w:t>
      </w:r>
      <w:r w:rsidRPr="005B23E1">
        <w:rPr>
          <w:rFonts w:cs="Times New Roman"/>
          <w:bCs/>
          <w:szCs w:val="24"/>
        </w:rPr>
        <w:t xml:space="preserve"> </w:t>
      </w:r>
      <w:r>
        <w:rPr>
          <w:rFonts w:cs="Times New Roman"/>
          <w:bCs/>
          <w:szCs w:val="24"/>
        </w:rPr>
        <w:t xml:space="preserve">despite the effects of inflation and technological innovation, other facets of EPE’s provision of electric service do not automatically adjust and pass through to customers changes in the costs of such service. Specifically, pursuant to PURA </w:t>
      </w:r>
      <w:r w:rsidRPr="009054B9">
        <w:rPr>
          <w:rFonts w:cs="Times New Roman"/>
          <w:bCs/>
          <w:szCs w:val="24"/>
          <w:lang w:val="x-none"/>
        </w:rPr>
        <w:t>§</w:t>
      </w:r>
      <w:r>
        <w:rPr>
          <w:rFonts w:cs="Times New Roman"/>
          <w:bCs/>
          <w:szCs w:val="24"/>
          <w:lang w:val="x-none"/>
        </w:rPr>
        <w:t xml:space="preserve"> 36.201, the Commission is prohibited from establishing a tariff that would authorize an electric utility to make and pass through such automatic adjustments, except as permitted by PURA </w:t>
      </w:r>
      <w:r w:rsidRPr="009054B9">
        <w:rPr>
          <w:rFonts w:cs="Times New Roman"/>
          <w:bCs/>
          <w:szCs w:val="24"/>
          <w:lang w:val="x-none"/>
        </w:rPr>
        <w:t>§</w:t>
      </w:r>
      <w:r>
        <w:rPr>
          <w:rFonts w:cs="Times New Roman"/>
          <w:bCs/>
          <w:szCs w:val="24"/>
          <w:lang w:val="x-none"/>
        </w:rPr>
        <w:t xml:space="preserve"> 36.204. As discussed previously within the context of the PowerConnect Pilot Program, PURA </w:t>
      </w:r>
      <w:r w:rsidRPr="009054B9">
        <w:rPr>
          <w:rFonts w:cs="Times New Roman"/>
          <w:bCs/>
          <w:szCs w:val="24"/>
          <w:lang w:val="x-none"/>
        </w:rPr>
        <w:t>§</w:t>
      </w:r>
      <w:r>
        <w:rPr>
          <w:rFonts w:cs="Times New Roman"/>
          <w:bCs/>
          <w:szCs w:val="24"/>
          <w:lang w:val="x-none"/>
        </w:rPr>
        <w:t xml:space="preserve"> 36.204 similarly would not apply for TCTX Pilot Program, because the reasonable costs for the program are not for conservation, load management, purchased power, or renewable resources. Accordingly, consistent with other facets of EPE’s provision </w:t>
      </w:r>
      <w:r w:rsidR="005C5361">
        <w:rPr>
          <w:rFonts w:cs="Times New Roman"/>
          <w:bCs/>
          <w:szCs w:val="24"/>
          <w:lang w:val="x-none"/>
        </w:rPr>
        <w:t xml:space="preserve">of </w:t>
      </w:r>
      <w:r>
        <w:rPr>
          <w:rFonts w:cs="Times New Roman"/>
          <w:bCs/>
          <w:szCs w:val="24"/>
          <w:lang w:val="x-none"/>
        </w:rPr>
        <w:t>electric service, EPE should be prohibited from automatically adjusting and passing through to customers any changes in EV charging station and infrastructure costs.</w:t>
      </w:r>
      <w:r>
        <w:rPr>
          <w:rFonts w:cs="Times New Roman"/>
          <w:bCs/>
          <w:szCs w:val="24"/>
        </w:rPr>
        <w:t xml:space="preserve"> Staff’s proposal would thus comply with PURA </w:t>
      </w:r>
      <w:r w:rsidRPr="009054B9">
        <w:rPr>
          <w:rFonts w:cs="Times New Roman"/>
          <w:bCs/>
          <w:szCs w:val="24"/>
          <w:lang w:val="x-none"/>
        </w:rPr>
        <w:t>§</w:t>
      </w:r>
      <w:r>
        <w:rPr>
          <w:rFonts w:cs="Times New Roman"/>
          <w:bCs/>
          <w:szCs w:val="24"/>
          <w:lang w:val="x-none"/>
        </w:rPr>
        <w:t xml:space="preserve"> 36.201</w:t>
      </w:r>
      <w:r>
        <w:rPr>
          <w:rFonts w:cs="Times New Roman"/>
          <w:bCs/>
          <w:szCs w:val="24"/>
        </w:rPr>
        <w:t xml:space="preserve">, while EPE’s proposed Schedule No. TCTX would effectively violate PURA </w:t>
      </w:r>
      <w:r w:rsidRPr="009054B9">
        <w:rPr>
          <w:rFonts w:cs="Times New Roman"/>
          <w:bCs/>
          <w:szCs w:val="24"/>
          <w:lang w:val="x-none"/>
        </w:rPr>
        <w:t>§</w:t>
      </w:r>
      <w:r>
        <w:rPr>
          <w:rFonts w:cs="Times New Roman"/>
          <w:bCs/>
          <w:szCs w:val="24"/>
          <w:lang w:val="x-none"/>
        </w:rPr>
        <w:t xml:space="preserve"> 36.201.</w:t>
      </w:r>
    </w:p>
    <w:p w14:paraId="5392469E" w14:textId="377952B3" w:rsidR="00A7164A" w:rsidRPr="007B19D3" w:rsidRDefault="55741BAB" w:rsidP="007B19D3">
      <w:pPr>
        <w:pStyle w:val="ListParagraph"/>
        <w:ind w:firstLine="720"/>
        <w:jc w:val="both"/>
      </w:pPr>
      <w:r w:rsidRPr="6D4D77C6">
        <w:rPr>
          <w:rFonts w:cs="Times New Roman"/>
        </w:rPr>
        <w:lastRenderedPageBreak/>
        <w:t xml:space="preserve">Ultimately, </w:t>
      </w:r>
      <w:r w:rsidR="6CB8A148" w:rsidRPr="6D4D77C6">
        <w:rPr>
          <w:rFonts w:cs="Times New Roman"/>
        </w:rPr>
        <w:t xml:space="preserve">EPE ignores the fact that Staff’s proposal </w:t>
      </w:r>
      <w:r w:rsidR="2BCCBBD0" w:rsidRPr="6D4D77C6">
        <w:rPr>
          <w:rFonts w:cs="Times New Roman"/>
        </w:rPr>
        <w:t xml:space="preserve">to establish a separate EV rate class </w:t>
      </w:r>
      <w:r w:rsidR="6CB8A148" w:rsidRPr="6D4D77C6">
        <w:rPr>
          <w:rFonts w:cs="Times New Roman"/>
        </w:rPr>
        <w:t>is consistent with well-established ratemaking practice, is more transparent for all stakeholders, and would more reasonably facilitate compliance with PURA and Commission rules.</w:t>
      </w:r>
      <w:r w:rsidR="00F64592" w:rsidRPr="6D4D77C6">
        <w:rPr>
          <w:rStyle w:val="FootnoteReference"/>
          <w:rFonts w:cs="Times New Roman"/>
        </w:rPr>
        <w:footnoteReference w:id="91"/>
      </w:r>
    </w:p>
    <w:p w14:paraId="3FB30BBC" w14:textId="77777777" w:rsidR="009054B9" w:rsidRPr="00A7164A" w:rsidRDefault="009054B9" w:rsidP="00B5220C">
      <w:pPr>
        <w:pStyle w:val="ListParagraph"/>
        <w:ind w:firstLine="720"/>
        <w:jc w:val="both"/>
        <w:rPr>
          <w:rFonts w:cs="Times New Roman"/>
          <w:bCs/>
          <w:szCs w:val="24"/>
        </w:rPr>
      </w:pPr>
    </w:p>
    <w:p w14:paraId="77B96632" w14:textId="3A126960" w:rsidR="00151BC4" w:rsidRDefault="00151BC4" w:rsidP="00745D0A">
      <w:pPr>
        <w:pStyle w:val="Heading2"/>
        <w:numPr>
          <w:ilvl w:val="0"/>
          <w:numId w:val="5"/>
        </w:numPr>
        <w:spacing w:after="0"/>
      </w:pPr>
      <w:bookmarkStart w:id="10" w:name="_Toc164298060"/>
      <w:r>
        <w:t>Cost Recovery</w:t>
      </w:r>
      <w:bookmarkEnd w:id="10"/>
    </w:p>
    <w:p w14:paraId="0A2DC135" w14:textId="31CE155C" w:rsidR="00D81AAC" w:rsidRDefault="00F30C15" w:rsidP="00D81AAC">
      <w:pPr>
        <w:pStyle w:val="ListParagraph"/>
        <w:ind w:firstLine="720"/>
        <w:jc w:val="both"/>
        <w:rPr>
          <w:rFonts w:cs="Times New Roman"/>
          <w:bCs/>
          <w:szCs w:val="24"/>
          <w:lang w:val="x-none"/>
        </w:rPr>
      </w:pPr>
      <w:r>
        <w:t xml:space="preserve">Aside from the exceptions discussed in the preceding subsection, Staff agrees with the conclusion that the Commission should prohibit EPE from recovering unrecovered TCTX Pilot Program costs from non-participating customers to ensure compliance with PURA </w:t>
      </w:r>
      <w:r w:rsidRPr="009054B9">
        <w:rPr>
          <w:rFonts w:cs="Times New Roman"/>
          <w:bCs/>
          <w:szCs w:val="24"/>
          <w:lang w:val="x-none"/>
        </w:rPr>
        <w:t>§</w:t>
      </w:r>
      <w:r>
        <w:rPr>
          <w:rFonts w:cs="Times New Roman"/>
          <w:bCs/>
          <w:szCs w:val="24"/>
          <w:lang w:val="x-none"/>
        </w:rPr>
        <w:t> 42.0103(p)(2).</w:t>
      </w:r>
      <w:r>
        <w:rPr>
          <w:rStyle w:val="FootnoteReference"/>
          <w:rFonts w:cs="Times New Roman"/>
          <w:bCs/>
          <w:szCs w:val="24"/>
          <w:lang w:val="x-none"/>
        </w:rPr>
        <w:footnoteReference w:id="92"/>
      </w:r>
      <w:r>
        <w:rPr>
          <w:rFonts w:cs="Times New Roman"/>
          <w:bCs/>
          <w:szCs w:val="24"/>
          <w:lang w:val="x-none"/>
        </w:rPr>
        <w:t xml:space="preserve"> Importantly, because these costs are not ultimately needed for the functioning of EPE’s system in the provision of standard utility service, it would not be reasonable to shift any unrecovered bad debt expenses onto non-participating customers.</w:t>
      </w:r>
      <w:r>
        <w:rPr>
          <w:rStyle w:val="FootnoteReference"/>
          <w:rFonts w:cs="Times New Roman"/>
          <w:bCs/>
          <w:szCs w:val="24"/>
          <w:lang w:val="x-none"/>
        </w:rPr>
        <w:footnoteReference w:id="93"/>
      </w:r>
      <w:r>
        <w:rPr>
          <w:rFonts w:cs="Times New Roman"/>
          <w:bCs/>
          <w:szCs w:val="24"/>
          <w:lang w:val="x-none"/>
        </w:rPr>
        <w:t xml:space="preserve"> </w:t>
      </w:r>
    </w:p>
    <w:p w14:paraId="6B68BF45" w14:textId="77777777" w:rsidR="00907E14" w:rsidRDefault="00907E14" w:rsidP="00D81AAC">
      <w:pPr>
        <w:pStyle w:val="ListParagraph"/>
        <w:ind w:firstLine="720"/>
        <w:jc w:val="both"/>
        <w:rPr>
          <w:rFonts w:cs="Times New Roman"/>
          <w:bCs/>
          <w:szCs w:val="24"/>
          <w:lang w:val="x-none"/>
        </w:rPr>
      </w:pPr>
    </w:p>
    <w:p w14:paraId="0C0F413C" w14:textId="4799452F" w:rsidR="002E00C4" w:rsidRPr="00701B1B" w:rsidRDefault="00F30C15" w:rsidP="00745D0A">
      <w:pPr>
        <w:pStyle w:val="Heading1"/>
        <w:numPr>
          <w:ilvl w:val="0"/>
          <w:numId w:val="2"/>
        </w:numPr>
        <w:spacing w:after="0" w:line="360" w:lineRule="auto"/>
        <w:ind w:left="0" w:firstLine="0"/>
        <w:rPr>
          <w:sz w:val="24"/>
          <w:szCs w:val="18"/>
        </w:rPr>
      </w:pPr>
      <w:bookmarkStart w:id="11" w:name="_Toc164298063"/>
      <w:r>
        <w:rPr>
          <w:sz w:val="24"/>
          <w:szCs w:val="18"/>
        </w:rPr>
        <w:t xml:space="preserve"> </w:t>
      </w:r>
      <w:r w:rsidR="00450B55" w:rsidRPr="00701B1B">
        <w:rPr>
          <w:sz w:val="24"/>
          <w:szCs w:val="18"/>
        </w:rPr>
        <w:t>CONCLUSION</w:t>
      </w:r>
      <w:bookmarkEnd w:id="11"/>
    </w:p>
    <w:p w14:paraId="212961C1" w14:textId="01444B8F" w:rsidR="0038432B" w:rsidRPr="00701B1B" w:rsidRDefault="0018010F" w:rsidP="002D1FC9">
      <w:pPr>
        <w:pStyle w:val="ListParagraph"/>
        <w:ind w:firstLine="720"/>
        <w:jc w:val="both"/>
      </w:pPr>
      <w:r w:rsidRPr="00701B1B">
        <w:rPr>
          <w:rFonts w:cs="Times New Roman"/>
          <w:bCs/>
          <w:szCs w:val="24"/>
        </w:rPr>
        <w:t xml:space="preserve">Based on the foregoing discussion, Staff </w:t>
      </w:r>
      <w:r w:rsidR="00706AC0">
        <w:rPr>
          <w:rFonts w:cs="Times New Roman"/>
          <w:bCs/>
          <w:szCs w:val="24"/>
        </w:rPr>
        <w:t>excepts to the PFD’s recommendations and findings that EPE’s EV-ready pilot programs and tariffs should be approved</w:t>
      </w:r>
      <w:r w:rsidR="00A6542B">
        <w:rPr>
          <w:rFonts w:eastAsia="Times New Roman" w:cs="Times New Roman"/>
          <w:szCs w:val="24"/>
        </w:rPr>
        <w:t xml:space="preserve">. </w:t>
      </w:r>
      <w:r w:rsidR="00706AC0">
        <w:rPr>
          <w:rFonts w:eastAsia="Times New Roman" w:cs="Times New Roman"/>
          <w:szCs w:val="24"/>
        </w:rPr>
        <w:t>Instead, i</w:t>
      </w:r>
      <w:r w:rsidR="00A6542B">
        <w:rPr>
          <w:rFonts w:eastAsia="Times New Roman" w:cs="Times New Roman"/>
          <w:szCs w:val="24"/>
        </w:rPr>
        <w:t>f the Commission desires to establish or facilitate EV-specific treatments in EPE’s rates and tariffs, EPE should be allowed to request the establishment of an EV rate class in a future proceeding.</w:t>
      </w:r>
      <w:r w:rsidR="003A6D8A" w:rsidRPr="00701B1B">
        <w:t xml:space="preserve"> Staff respectfully </w:t>
      </w:r>
      <w:r w:rsidR="00706AC0">
        <w:t xml:space="preserve">requests that these exceptions </w:t>
      </w:r>
      <w:r w:rsidR="00127A60">
        <w:t xml:space="preserve">to the PFD </w:t>
      </w:r>
      <w:r w:rsidR="00706AC0">
        <w:t xml:space="preserve">and </w:t>
      </w:r>
      <w:r w:rsidR="00127A60">
        <w:t xml:space="preserve">Staff’s </w:t>
      </w:r>
      <w:r w:rsidR="00706AC0">
        <w:t xml:space="preserve">recommendations </w:t>
      </w:r>
      <w:r w:rsidR="003A3699">
        <w:t xml:space="preserve">for an EV rate class </w:t>
      </w:r>
      <w:r w:rsidR="00706AC0">
        <w:t>be taken into consideration</w:t>
      </w:r>
      <w:r w:rsidR="003A6D8A" w:rsidRPr="00701B1B">
        <w:t>.</w:t>
      </w:r>
    </w:p>
    <w:p w14:paraId="65631DD4" w14:textId="77777777" w:rsidR="0038432B" w:rsidRPr="00701B1B" w:rsidRDefault="0038432B" w:rsidP="0018010F">
      <w:pPr>
        <w:pStyle w:val="ListParagraph"/>
        <w:ind w:firstLine="720"/>
        <w:jc w:val="both"/>
        <w:rPr>
          <w:rFonts w:cs="Times New Roman"/>
          <w:bCs/>
          <w:szCs w:val="24"/>
        </w:rPr>
      </w:pPr>
    </w:p>
    <w:p w14:paraId="0443B74A" w14:textId="07C14F59" w:rsidR="00871E02" w:rsidRPr="00C76441" w:rsidRDefault="00871E02" w:rsidP="00642C44">
      <w:pPr>
        <w:keepLines/>
        <w:autoSpaceDE w:val="0"/>
        <w:autoSpaceDN w:val="0"/>
        <w:adjustRightInd w:val="0"/>
        <w:spacing w:after="0" w:line="240" w:lineRule="auto"/>
        <w:ind w:firstLine="0"/>
        <w:outlineLvl w:val="9"/>
        <w:rPr>
          <w:szCs w:val="20"/>
        </w:rPr>
      </w:pPr>
      <w:r w:rsidRPr="00C76441">
        <w:rPr>
          <w:bCs/>
          <w:szCs w:val="20"/>
        </w:rPr>
        <w:lastRenderedPageBreak/>
        <w:t xml:space="preserve">Dated: </w:t>
      </w:r>
      <w:r w:rsidRPr="00C76441">
        <w:rPr>
          <w:bCs/>
          <w:szCs w:val="20"/>
        </w:rPr>
        <w:fldChar w:fldCharType="begin"/>
      </w:r>
      <w:r w:rsidRPr="00C76441">
        <w:rPr>
          <w:bCs/>
          <w:szCs w:val="20"/>
        </w:rPr>
        <w:instrText xml:space="preserve"> DATE \@ "MMMM d, yyyy" </w:instrText>
      </w:r>
      <w:r w:rsidRPr="00C76441">
        <w:rPr>
          <w:bCs/>
          <w:szCs w:val="20"/>
        </w:rPr>
        <w:fldChar w:fldCharType="separate"/>
      </w:r>
      <w:r w:rsidR="002333C6">
        <w:rPr>
          <w:bCs/>
          <w:noProof/>
          <w:szCs w:val="20"/>
        </w:rPr>
        <w:t>August 1, 2024</w:t>
      </w:r>
      <w:r w:rsidRPr="00C76441">
        <w:rPr>
          <w:bCs/>
          <w:szCs w:val="20"/>
        </w:rPr>
        <w:fldChar w:fldCharType="end"/>
      </w:r>
    </w:p>
    <w:p w14:paraId="34DB43C9" w14:textId="77777777" w:rsidR="00871E02" w:rsidRPr="00C76441" w:rsidRDefault="00871E02" w:rsidP="00EC0910">
      <w:pPr>
        <w:keepLines/>
        <w:spacing w:after="0" w:line="240" w:lineRule="auto"/>
        <w:ind w:firstLine="0"/>
        <w:outlineLvl w:val="9"/>
        <w:rPr>
          <w:bCs/>
          <w:szCs w:val="20"/>
        </w:rPr>
      </w:pPr>
    </w:p>
    <w:p w14:paraId="5AC44ECF" w14:textId="77777777" w:rsidR="00871E02" w:rsidRPr="00C76441" w:rsidRDefault="00871E02" w:rsidP="00EC0910">
      <w:pPr>
        <w:keepLines/>
        <w:spacing w:after="0" w:line="480" w:lineRule="auto"/>
        <w:ind w:left="3600"/>
        <w:outlineLvl w:val="9"/>
        <w:rPr>
          <w:szCs w:val="20"/>
        </w:rPr>
      </w:pPr>
      <w:r w:rsidRPr="00C76441">
        <w:rPr>
          <w:szCs w:val="20"/>
        </w:rPr>
        <w:t>Respectfully submitted,</w:t>
      </w:r>
    </w:p>
    <w:p w14:paraId="38103E68" w14:textId="77777777" w:rsidR="00871E02" w:rsidRPr="00C76441" w:rsidRDefault="00871E02" w:rsidP="00EC0910">
      <w:pPr>
        <w:keepLines/>
        <w:spacing w:after="0" w:line="240" w:lineRule="auto"/>
        <w:ind w:left="4320" w:firstLine="0"/>
        <w:contextualSpacing/>
        <w:outlineLvl w:val="9"/>
        <w:rPr>
          <w:b/>
          <w:szCs w:val="20"/>
        </w:rPr>
      </w:pPr>
      <w:r w:rsidRPr="00C76441">
        <w:rPr>
          <w:b/>
          <w:szCs w:val="20"/>
        </w:rPr>
        <w:t xml:space="preserve">PUBLIC UTILITY COMMISSION OF TEXAS </w:t>
      </w:r>
    </w:p>
    <w:p w14:paraId="6236E223" w14:textId="77777777" w:rsidR="00871E02" w:rsidRPr="00C76441" w:rsidRDefault="00871E02" w:rsidP="00EC0910">
      <w:pPr>
        <w:keepLines/>
        <w:spacing w:after="0" w:line="240" w:lineRule="auto"/>
        <w:ind w:left="4320" w:firstLine="0"/>
        <w:contextualSpacing/>
        <w:outlineLvl w:val="9"/>
        <w:rPr>
          <w:b/>
          <w:szCs w:val="20"/>
        </w:rPr>
      </w:pPr>
      <w:r w:rsidRPr="00C76441">
        <w:rPr>
          <w:b/>
          <w:szCs w:val="20"/>
        </w:rPr>
        <w:t>LEGAL DIVISION</w:t>
      </w:r>
    </w:p>
    <w:p w14:paraId="6E8E480E" w14:textId="77777777" w:rsidR="00871E02" w:rsidRPr="00C76441" w:rsidRDefault="00871E02" w:rsidP="00EC0910">
      <w:pPr>
        <w:keepLines/>
        <w:spacing w:after="0" w:line="240" w:lineRule="auto"/>
        <w:ind w:firstLine="0"/>
        <w:outlineLvl w:val="9"/>
        <w:rPr>
          <w:szCs w:val="20"/>
        </w:rPr>
      </w:pPr>
    </w:p>
    <w:p w14:paraId="636F3E24" w14:textId="77777777" w:rsidR="00871E02" w:rsidRPr="00C76441" w:rsidRDefault="00871E02" w:rsidP="00EC0910">
      <w:pPr>
        <w:keepLines/>
        <w:spacing w:after="0" w:line="240" w:lineRule="auto"/>
        <w:ind w:left="4320" w:firstLine="0"/>
        <w:outlineLvl w:val="9"/>
        <w:rPr>
          <w:szCs w:val="20"/>
        </w:rPr>
      </w:pPr>
      <w:r w:rsidRPr="00C76441">
        <w:rPr>
          <w:szCs w:val="20"/>
        </w:rPr>
        <w:t>Marisa Lopez Wagley</w:t>
      </w:r>
    </w:p>
    <w:p w14:paraId="3DAFCB10" w14:textId="77777777" w:rsidR="00871E02" w:rsidRDefault="00871E02" w:rsidP="00EC0910">
      <w:pPr>
        <w:keepLines/>
        <w:spacing w:after="0" w:line="240" w:lineRule="auto"/>
        <w:ind w:left="4320" w:firstLine="0"/>
        <w:outlineLvl w:val="9"/>
        <w:rPr>
          <w:szCs w:val="20"/>
        </w:rPr>
      </w:pPr>
      <w:r w:rsidRPr="00C76441">
        <w:rPr>
          <w:szCs w:val="20"/>
        </w:rPr>
        <w:t>Division Director</w:t>
      </w:r>
    </w:p>
    <w:p w14:paraId="256199E2" w14:textId="77777777" w:rsidR="0015425F" w:rsidRDefault="0015425F" w:rsidP="00EC0910">
      <w:pPr>
        <w:keepLines/>
        <w:spacing w:after="0" w:line="240" w:lineRule="auto"/>
        <w:ind w:left="4320" w:firstLine="0"/>
        <w:outlineLvl w:val="9"/>
        <w:rPr>
          <w:szCs w:val="20"/>
        </w:rPr>
      </w:pPr>
    </w:p>
    <w:p w14:paraId="2130B88F" w14:textId="314A4FDA" w:rsidR="0015425F" w:rsidRDefault="0015425F" w:rsidP="00EC0910">
      <w:pPr>
        <w:keepLines/>
        <w:spacing w:after="0" w:line="240" w:lineRule="auto"/>
        <w:ind w:left="4320" w:firstLine="0"/>
        <w:outlineLvl w:val="9"/>
        <w:rPr>
          <w:szCs w:val="20"/>
        </w:rPr>
      </w:pPr>
      <w:r>
        <w:rPr>
          <w:szCs w:val="20"/>
        </w:rPr>
        <w:t>Ian Groetsch and Andy Aus</w:t>
      </w:r>
    </w:p>
    <w:p w14:paraId="4E3E7137" w14:textId="49BB64A4" w:rsidR="0015425F" w:rsidRPr="00C76441" w:rsidRDefault="0015425F" w:rsidP="00EC0910">
      <w:pPr>
        <w:keepLines/>
        <w:spacing w:after="0" w:line="240" w:lineRule="auto"/>
        <w:ind w:left="4320" w:firstLine="0"/>
        <w:outlineLvl w:val="9"/>
        <w:rPr>
          <w:szCs w:val="20"/>
        </w:rPr>
      </w:pPr>
      <w:r>
        <w:rPr>
          <w:szCs w:val="20"/>
        </w:rPr>
        <w:t>Managing Attorneys</w:t>
      </w:r>
    </w:p>
    <w:p w14:paraId="1C0DF271" w14:textId="77777777" w:rsidR="00871E02" w:rsidRDefault="00871E02" w:rsidP="00EC0910">
      <w:pPr>
        <w:keepLines/>
        <w:spacing w:after="0" w:line="240" w:lineRule="auto"/>
        <w:ind w:firstLine="0"/>
        <w:outlineLvl w:val="9"/>
        <w:rPr>
          <w:szCs w:val="20"/>
        </w:rPr>
      </w:pPr>
    </w:p>
    <w:p w14:paraId="5E1A936B" w14:textId="77777777" w:rsidR="00871E02" w:rsidRPr="00C76441" w:rsidRDefault="00871E02" w:rsidP="00EC0910">
      <w:pPr>
        <w:keepLines/>
        <w:spacing w:after="0" w:line="240" w:lineRule="auto"/>
        <w:ind w:firstLine="0"/>
        <w:outlineLvl w:val="9"/>
        <w:rPr>
          <w:szCs w:val="20"/>
        </w:rPr>
      </w:pPr>
    </w:p>
    <w:p w14:paraId="3C965CD1" w14:textId="0AA7D2E7"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u w:val="single"/>
        </w:rPr>
      </w:pPr>
      <w:r w:rsidRPr="00C76441">
        <w:rPr>
          <w:szCs w:val="20"/>
          <w:u w:val="single"/>
        </w:rPr>
        <w:t xml:space="preserve">  /s/ </w:t>
      </w:r>
      <w:r w:rsidR="008027D4">
        <w:rPr>
          <w:szCs w:val="20"/>
          <w:u w:val="single"/>
        </w:rPr>
        <w:t>Scott Miles</w:t>
      </w:r>
      <w:r w:rsidRPr="00C76441">
        <w:rPr>
          <w:szCs w:val="20"/>
          <w:u w:val="single"/>
        </w:rPr>
        <w:tab/>
      </w:r>
      <w:r w:rsidRPr="00C76441">
        <w:rPr>
          <w:szCs w:val="20"/>
          <w:u w:val="single"/>
        </w:rPr>
        <w:tab/>
      </w:r>
    </w:p>
    <w:p w14:paraId="00B8BFDD" w14:textId="77777777" w:rsidR="00871E02" w:rsidRPr="008B6E7A"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bookmarkStart w:id="12" w:name="_Hlk85702671"/>
      <w:r w:rsidRPr="008B6E7A">
        <w:rPr>
          <w:szCs w:val="20"/>
        </w:rPr>
        <w:t>Scott Miles</w:t>
      </w:r>
      <w:r w:rsidRPr="008B6E7A">
        <w:rPr>
          <w:szCs w:val="20"/>
        </w:rPr>
        <w:tab/>
      </w:r>
    </w:p>
    <w:p w14:paraId="4AA53D61" w14:textId="77777777" w:rsidR="00871E02"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8B6E7A">
        <w:rPr>
          <w:szCs w:val="20"/>
        </w:rPr>
        <w:t>State Bar No. 24098103</w:t>
      </w:r>
    </w:p>
    <w:p w14:paraId="21810DE3" w14:textId="77777777" w:rsidR="0015425F" w:rsidRPr="00C76441" w:rsidRDefault="0015425F" w:rsidP="0015425F">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Anthony Kanalas</w:t>
      </w:r>
    </w:p>
    <w:p w14:paraId="6EFE7DAD" w14:textId="77777777" w:rsidR="0015425F" w:rsidRPr="00C76441" w:rsidRDefault="0015425F" w:rsidP="0015425F">
      <w:pPr>
        <w:keepLines/>
        <w:overflowPunct w:val="0"/>
        <w:autoSpaceDE w:val="0"/>
        <w:autoSpaceDN w:val="0"/>
        <w:adjustRightInd w:val="0"/>
        <w:spacing w:after="0" w:line="240" w:lineRule="auto"/>
        <w:ind w:left="4320" w:firstLine="0"/>
        <w:jc w:val="left"/>
        <w:textAlignment w:val="baseline"/>
        <w:outlineLvl w:val="9"/>
        <w:rPr>
          <w:szCs w:val="20"/>
          <w:u w:val="single"/>
        </w:rPr>
      </w:pPr>
      <w:r w:rsidRPr="00C76441">
        <w:rPr>
          <w:szCs w:val="20"/>
        </w:rPr>
        <w:t>State Bar No. 24125640</w:t>
      </w:r>
    </w:p>
    <w:p w14:paraId="40307FA4" w14:textId="77777777"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1701 N. Congress Avenue</w:t>
      </w:r>
    </w:p>
    <w:p w14:paraId="1F9D8DDF" w14:textId="77777777"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P.O. Box 13326</w:t>
      </w:r>
    </w:p>
    <w:p w14:paraId="7A586EF0" w14:textId="77777777"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Austin, Texas 78711-3480</w:t>
      </w:r>
    </w:p>
    <w:p w14:paraId="2DA4DF9B" w14:textId="280CA685"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(512) 936-7</w:t>
      </w:r>
      <w:r w:rsidR="0015425F">
        <w:rPr>
          <w:szCs w:val="20"/>
        </w:rPr>
        <w:t>228</w:t>
      </w:r>
    </w:p>
    <w:p w14:paraId="2922FEDF" w14:textId="77777777" w:rsidR="00871E02" w:rsidRPr="00C76441" w:rsidRDefault="00871E02" w:rsidP="00EC0910">
      <w:pPr>
        <w:keepLines/>
        <w:overflowPunct w:val="0"/>
        <w:autoSpaceDE w:val="0"/>
        <w:autoSpaceDN w:val="0"/>
        <w:adjustRightInd w:val="0"/>
        <w:spacing w:after="0" w:line="240" w:lineRule="auto"/>
        <w:ind w:left="4320" w:firstLine="0"/>
        <w:jc w:val="left"/>
        <w:textAlignment w:val="baseline"/>
        <w:outlineLvl w:val="9"/>
        <w:rPr>
          <w:szCs w:val="20"/>
        </w:rPr>
      </w:pPr>
      <w:r w:rsidRPr="00C76441">
        <w:rPr>
          <w:szCs w:val="20"/>
        </w:rPr>
        <w:t>(512) 936-7268 (facsimile)</w:t>
      </w:r>
    </w:p>
    <w:bookmarkEnd w:id="12"/>
    <w:p w14:paraId="3E988861" w14:textId="7A02FAAA" w:rsidR="00871E02" w:rsidRPr="00701B1B" w:rsidRDefault="008027D4" w:rsidP="00EC0910">
      <w:pPr>
        <w:keepLines/>
        <w:spacing w:after="0" w:line="240" w:lineRule="auto"/>
        <w:ind w:left="4320" w:firstLine="0"/>
        <w:outlineLvl w:val="9"/>
      </w:pPr>
      <w:r>
        <w:t>Scott.Miles</w:t>
      </w:r>
      <w:r w:rsidR="00871E02" w:rsidRPr="00701B1B">
        <w:t>@puc.texas.gov</w:t>
      </w:r>
    </w:p>
    <w:p w14:paraId="1F69AA70" w14:textId="2EDA18AE" w:rsidR="002E00C4" w:rsidRPr="00701B1B" w:rsidRDefault="002E00C4" w:rsidP="002E00C4">
      <w:pPr>
        <w:keepNext w:val="0"/>
        <w:spacing w:after="0" w:line="240" w:lineRule="auto"/>
        <w:ind w:firstLine="0"/>
        <w:outlineLvl w:val="9"/>
        <w:rPr>
          <w:b/>
          <w:caps/>
        </w:rPr>
      </w:pPr>
    </w:p>
    <w:p w14:paraId="75F1C672" w14:textId="77777777" w:rsidR="00871E02" w:rsidRDefault="00871E02" w:rsidP="00034832">
      <w:pPr>
        <w:spacing w:after="240" w:line="240" w:lineRule="auto"/>
        <w:ind w:firstLine="0"/>
        <w:contextualSpacing/>
        <w:jc w:val="center"/>
        <w:outlineLvl w:val="9"/>
        <w:rPr>
          <w:b/>
          <w:caps/>
        </w:rPr>
      </w:pPr>
    </w:p>
    <w:p w14:paraId="72B61F65" w14:textId="3E2A4DA1" w:rsidR="00034832" w:rsidRDefault="00034832" w:rsidP="00034832">
      <w:pPr>
        <w:spacing w:after="240" w:line="240" w:lineRule="auto"/>
        <w:ind w:firstLine="0"/>
        <w:contextualSpacing/>
        <w:jc w:val="center"/>
        <w:outlineLvl w:val="9"/>
        <w:rPr>
          <w:b/>
          <w:caps/>
        </w:rPr>
      </w:pPr>
      <w:r w:rsidRPr="00C1345C">
        <w:rPr>
          <w:b/>
          <w:caps/>
        </w:rPr>
        <w:t>PUC DOCKET NO. 54614</w:t>
      </w:r>
    </w:p>
    <w:p w14:paraId="1CC88D06" w14:textId="77777777" w:rsidR="00C1345C" w:rsidRPr="00C1345C" w:rsidRDefault="00C1345C" w:rsidP="00C1345C">
      <w:pPr>
        <w:spacing w:after="240" w:line="240" w:lineRule="auto"/>
        <w:ind w:firstLine="0"/>
        <w:contextualSpacing/>
        <w:jc w:val="center"/>
        <w:outlineLvl w:val="9"/>
        <w:rPr>
          <w:b/>
          <w:caps/>
        </w:rPr>
      </w:pPr>
      <w:r w:rsidRPr="00C1345C">
        <w:rPr>
          <w:b/>
          <w:caps/>
        </w:rPr>
        <w:t>SOAH DOCKET NO. 473-24-04312</w:t>
      </w:r>
    </w:p>
    <w:p w14:paraId="14A4B5CF" w14:textId="77777777" w:rsidR="000612C6" w:rsidRPr="00701B1B" w:rsidRDefault="000612C6" w:rsidP="00B82043">
      <w:pPr>
        <w:spacing w:after="0" w:line="240" w:lineRule="auto"/>
        <w:ind w:firstLine="0"/>
        <w:jc w:val="center"/>
        <w:outlineLvl w:val="9"/>
        <w:rPr>
          <w:b/>
          <w:caps/>
        </w:rPr>
      </w:pPr>
    </w:p>
    <w:p w14:paraId="0DDF7914" w14:textId="77777777" w:rsidR="000612C6" w:rsidRPr="00701B1B" w:rsidRDefault="000612C6" w:rsidP="00F657AD">
      <w:pPr>
        <w:spacing w:after="0"/>
        <w:ind w:firstLine="0"/>
        <w:jc w:val="center"/>
        <w:outlineLvl w:val="9"/>
        <w:rPr>
          <w:b/>
        </w:rPr>
      </w:pPr>
      <w:r w:rsidRPr="00701B1B">
        <w:rPr>
          <w:b/>
        </w:rPr>
        <w:t>CERTIFICATE OF SERVICE</w:t>
      </w:r>
    </w:p>
    <w:p w14:paraId="5134B48E" w14:textId="048BADD6" w:rsidR="000612C6" w:rsidRPr="00701B1B" w:rsidRDefault="000612C6" w:rsidP="00F657AD">
      <w:pPr>
        <w:overflowPunct w:val="0"/>
        <w:autoSpaceDE w:val="0"/>
        <w:autoSpaceDN w:val="0"/>
        <w:adjustRightInd w:val="0"/>
        <w:spacing w:after="0"/>
        <w:textAlignment w:val="baseline"/>
        <w:outlineLvl w:val="9"/>
      </w:pPr>
      <w:r w:rsidRPr="00701B1B">
        <w:t>I certify that, unless otherwise ordered by the presiding officer, notice of the filing of this document w</w:t>
      </w:r>
      <w:r w:rsidR="00034832">
        <w:t>ill be</w:t>
      </w:r>
      <w:r w:rsidRPr="00701B1B">
        <w:t xml:space="preserve"> provided to all parties of record via electronic mail on </w:t>
      </w:r>
      <w:r w:rsidRPr="00701B1B">
        <w:fldChar w:fldCharType="begin"/>
      </w:r>
      <w:r w:rsidRPr="00701B1B">
        <w:instrText xml:space="preserve"> DATE \@ "MMMM d, yyyy" </w:instrText>
      </w:r>
      <w:r w:rsidRPr="00701B1B">
        <w:fldChar w:fldCharType="separate"/>
      </w:r>
      <w:r w:rsidR="002333C6">
        <w:rPr>
          <w:noProof/>
        </w:rPr>
        <w:t>August 1, 2024</w:t>
      </w:r>
      <w:r w:rsidRPr="00701B1B">
        <w:fldChar w:fldCharType="end"/>
      </w:r>
      <w:r w:rsidRPr="00701B1B">
        <w:t xml:space="preserve">, in accordance with the </w:t>
      </w:r>
      <w:r w:rsidR="00C1345C">
        <w:t xml:space="preserve">Second </w:t>
      </w:r>
      <w:r w:rsidRPr="00701B1B">
        <w:t>Order Suspending Rules, issued in Project No. 50664.</w:t>
      </w:r>
    </w:p>
    <w:p w14:paraId="6DFF7F94" w14:textId="77777777" w:rsidR="000612C6" w:rsidRPr="00701B1B" w:rsidRDefault="000612C6" w:rsidP="00F657AD">
      <w:pPr>
        <w:spacing w:after="0"/>
        <w:outlineLvl w:val="9"/>
      </w:pPr>
    </w:p>
    <w:p w14:paraId="272219FA" w14:textId="7494F8CC" w:rsidR="00F13ADF" w:rsidRPr="00701B1B" w:rsidRDefault="00F13ADF" w:rsidP="00B82043">
      <w:pPr>
        <w:tabs>
          <w:tab w:val="left" w:pos="5040"/>
        </w:tabs>
        <w:overflowPunct w:val="0"/>
        <w:autoSpaceDE w:val="0"/>
        <w:autoSpaceDN w:val="0"/>
        <w:adjustRightInd w:val="0"/>
        <w:spacing w:after="0" w:line="240" w:lineRule="auto"/>
        <w:ind w:left="3600"/>
        <w:jc w:val="left"/>
        <w:textAlignment w:val="baseline"/>
        <w:outlineLvl w:val="9"/>
        <w:rPr>
          <w:i/>
          <w:iCs/>
          <w:u w:val="single"/>
        </w:rPr>
      </w:pPr>
      <w:r w:rsidRPr="00701B1B">
        <w:rPr>
          <w:i/>
          <w:iCs/>
          <w:u w:val="single"/>
        </w:rPr>
        <w:t xml:space="preserve">/s/ </w:t>
      </w:r>
      <w:r w:rsidR="008027D4">
        <w:rPr>
          <w:i/>
          <w:iCs/>
          <w:u w:val="single"/>
        </w:rPr>
        <w:t>Scott Miles</w:t>
      </w:r>
      <w:r w:rsidRPr="00701B1B">
        <w:rPr>
          <w:i/>
          <w:iCs/>
          <w:u w:val="single"/>
        </w:rPr>
        <w:tab/>
      </w:r>
    </w:p>
    <w:p w14:paraId="624B43CB" w14:textId="1B0428C2" w:rsidR="00F13ADF" w:rsidRPr="00701B1B" w:rsidRDefault="008027D4" w:rsidP="00B82043">
      <w:pPr>
        <w:tabs>
          <w:tab w:val="left" w:pos="5040"/>
        </w:tabs>
        <w:overflowPunct w:val="0"/>
        <w:autoSpaceDE w:val="0"/>
        <w:autoSpaceDN w:val="0"/>
        <w:adjustRightInd w:val="0"/>
        <w:spacing w:after="0" w:line="240" w:lineRule="auto"/>
        <w:ind w:left="3600"/>
        <w:jc w:val="left"/>
        <w:textAlignment w:val="baseline"/>
        <w:outlineLvl w:val="9"/>
        <w:rPr>
          <w:sz w:val="20"/>
        </w:rPr>
      </w:pPr>
      <w:r>
        <w:t>Scott Miles</w:t>
      </w:r>
    </w:p>
    <w:p w14:paraId="79229E42" w14:textId="77777777" w:rsidR="008647EB" w:rsidRPr="00701B1B" w:rsidRDefault="008647EB" w:rsidP="000612C6">
      <w:pPr>
        <w:keepNext w:val="0"/>
        <w:spacing w:after="0"/>
        <w:ind w:firstLine="0"/>
        <w:outlineLvl w:val="9"/>
        <w:rPr>
          <w:szCs w:val="20"/>
        </w:rPr>
      </w:pPr>
    </w:p>
    <w:sectPr w:rsidR="008647EB" w:rsidRPr="00701B1B" w:rsidSect="00061134">
      <w:footerReference w:type="even" r:id="rId7"/>
      <w:footerReference w:type="default" r:id="rId8"/>
      <w:pgSz w:w="12240" w:h="15840"/>
      <w:pgMar w:top="1440" w:right="1440" w:bottom="1440" w:left="1440"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29B1" w14:textId="77777777" w:rsidR="00341619" w:rsidRDefault="00341619" w:rsidP="008016FB">
      <w:r>
        <w:separator/>
      </w:r>
    </w:p>
    <w:p w14:paraId="57875BB1" w14:textId="77777777" w:rsidR="00341619" w:rsidRDefault="00341619" w:rsidP="008016FB"/>
    <w:p w14:paraId="7ED580D2" w14:textId="77777777" w:rsidR="00341619" w:rsidRDefault="00341619" w:rsidP="008016FB"/>
  </w:endnote>
  <w:endnote w:type="continuationSeparator" w:id="0">
    <w:p w14:paraId="473C027C" w14:textId="77777777" w:rsidR="00341619" w:rsidRDefault="00341619" w:rsidP="008016FB">
      <w:r>
        <w:continuationSeparator/>
      </w:r>
    </w:p>
    <w:p w14:paraId="643836E5" w14:textId="77777777" w:rsidR="00341619" w:rsidRDefault="00341619" w:rsidP="008016FB"/>
    <w:p w14:paraId="5B9EE5F4" w14:textId="77777777" w:rsidR="00341619" w:rsidRDefault="00341619" w:rsidP="008016FB"/>
  </w:endnote>
  <w:endnote w:type="continuationNotice" w:id="1">
    <w:p w14:paraId="6B0EF5F3" w14:textId="77777777" w:rsidR="00341619" w:rsidRDefault="00341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64EB0111"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B0647B">
      <w:rPr>
        <w:rStyle w:val="PageNumber"/>
        <w:noProof/>
      </w:rPr>
      <w:t>21</w: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477660"/>
      <w:docPartObj>
        <w:docPartGallery w:val="Page Numbers (Bottom of Page)"/>
        <w:docPartUnique/>
      </w:docPartObj>
    </w:sdtPr>
    <w:sdtEndPr>
      <w:rPr>
        <w:noProof/>
      </w:rPr>
    </w:sdtEndPr>
    <w:sdtContent>
      <w:p w14:paraId="2B7CCA76" w14:textId="775E4C83" w:rsidR="00061134" w:rsidRDefault="00061134" w:rsidP="00061134">
        <w:pPr>
          <w:pStyle w:val="Footer"/>
          <w:spacing w:after="0" w:line="240" w:lineRule="auto"/>
          <w:jc w:val="center"/>
        </w:pPr>
        <w:r>
          <w:fldChar w:fldCharType="begin"/>
        </w:r>
        <w:r>
          <w:instrText xml:space="preserve"> PAGE   \* MERGEFORMAT </w:instrText>
        </w:r>
        <w:r>
          <w:fldChar w:fldCharType="separate"/>
        </w:r>
        <w:r>
          <w:rPr>
            <w:noProof/>
          </w:rPr>
          <w:t>2</w:t>
        </w:r>
        <w:r>
          <w:rPr>
            <w:noProof/>
          </w:rPr>
          <w:fldChar w:fldCharType="end"/>
        </w:r>
      </w:p>
    </w:sdtContent>
  </w:sdt>
  <w:p w14:paraId="3D5A9102" w14:textId="77777777" w:rsidR="00410006" w:rsidRDefault="00410006" w:rsidP="00410006">
    <w:pPr>
      <w:pStyle w:val="Footer"/>
      <w:ind w:firstLine="0"/>
    </w:pPr>
  </w:p>
  <w:p w14:paraId="1FFAA197" w14:textId="77777777" w:rsidR="006D22DF" w:rsidRDefault="006D22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6A90" w14:textId="77777777" w:rsidR="00341619" w:rsidRDefault="00341619" w:rsidP="009A0168">
      <w:pPr>
        <w:spacing w:after="0" w:line="240" w:lineRule="auto"/>
        <w:ind w:firstLine="0"/>
      </w:pPr>
      <w:r>
        <w:separator/>
      </w:r>
    </w:p>
  </w:footnote>
  <w:footnote w:type="continuationSeparator" w:id="0">
    <w:p w14:paraId="43E09697" w14:textId="77777777" w:rsidR="00341619" w:rsidRDefault="00341619" w:rsidP="008016FB">
      <w:r>
        <w:continuationSeparator/>
      </w:r>
    </w:p>
    <w:p w14:paraId="19FDFDA4" w14:textId="77777777" w:rsidR="00341619" w:rsidRDefault="00341619" w:rsidP="008016FB"/>
    <w:p w14:paraId="3FF84DCD" w14:textId="77777777" w:rsidR="00341619" w:rsidRDefault="00341619" w:rsidP="008016FB"/>
  </w:footnote>
  <w:footnote w:type="continuationNotice" w:id="1">
    <w:p w14:paraId="6ED0D475" w14:textId="77777777" w:rsidR="00341619" w:rsidRDefault="00341619">
      <w:pPr>
        <w:spacing w:after="0" w:line="240" w:lineRule="auto"/>
      </w:pPr>
    </w:p>
  </w:footnote>
  <w:footnote w:id="2">
    <w:p w14:paraId="022D9755" w14:textId="77777777" w:rsidR="00E744E6" w:rsidRDefault="00E744E6" w:rsidP="000F7DAF">
      <w:pPr>
        <w:pStyle w:val="FootnoteText"/>
        <w:spacing w:line="240" w:lineRule="auto"/>
      </w:pPr>
      <w:r>
        <w:rPr>
          <w:rStyle w:val="FootnoteReference"/>
        </w:rPr>
        <w:footnoteRef/>
      </w:r>
      <w:r>
        <w:t xml:space="preserve">  Public Utility Regulatory Act, Tex. Util. Code Ann. §§ 11.001-66.016.  </w:t>
      </w:r>
    </w:p>
  </w:footnote>
  <w:footnote w:id="3">
    <w:p w14:paraId="0939E0CF" w14:textId="1D3BB450" w:rsidR="00610B92" w:rsidRDefault="00610B92" w:rsidP="000F7DAF">
      <w:pPr>
        <w:pStyle w:val="FootnoteText"/>
        <w:spacing w:line="240" w:lineRule="auto"/>
      </w:pPr>
      <w:r>
        <w:rPr>
          <w:rStyle w:val="FootnoteReference"/>
        </w:rPr>
        <w:footnoteRef/>
      </w:r>
      <w:r>
        <w:t xml:space="preserve">  Proposal for Decision at </w:t>
      </w:r>
      <w:r w:rsidR="00C33FC8">
        <w:t xml:space="preserve">19-21, 28-29, and 32-33 </w:t>
      </w:r>
      <w:r>
        <w:t>(Jun. 28, 2024)</w:t>
      </w:r>
      <w:r w:rsidR="00205C60">
        <w:t xml:space="preserve"> (PFD)</w:t>
      </w:r>
      <w:r>
        <w:t xml:space="preserve">. </w:t>
      </w:r>
    </w:p>
  </w:footnote>
  <w:footnote w:id="4">
    <w:p w14:paraId="251CD637" w14:textId="4F79FB93" w:rsidR="00D81AAC" w:rsidRDefault="00D81AAC" w:rsidP="000F7DAF">
      <w:pPr>
        <w:pStyle w:val="FootnoteText"/>
        <w:spacing w:line="240" w:lineRule="auto"/>
      </w:pPr>
      <w:r>
        <w:rPr>
          <w:rStyle w:val="FootnoteReference"/>
        </w:rPr>
        <w:footnoteRef/>
      </w:r>
      <w:r>
        <w:t xml:space="preserve">  Commission Staff’s Initial Brief at 8-11 (Apr. 18, 2024) (Staff’s Initial Brief). </w:t>
      </w:r>
    </w:p>
  </w:footnote>
  <w:footnote w:id="5">
    <w:p w14:paraId="54384635" w14:textId="04391FDE" w:rsidR="00D81AAC" w:rsidRPr="00D81AAC" w:rsidRDefault="00D81AAC" w:rsidP="000F7DAF">
      <w:pPr>
        <w:pStyle w:val="FootnoteText"/>
        <w:spacing w:line="240" w:lineRule="auto"/>
      </w:pPr>
      <w:r>
        <w:rPr>
          <w:rStyle w:val="FootnoteReference"/>
        </w:rPr>
        <w:footnoteRef/>
      </w:r>
      <w:r>
        <w:t xml:space="preserve"> </w:t>
      </w:r>
      <w:r w:rsidR="00361406">
        <w:t xml:space="preserve"> </w:t>
      </w:r>
      <w:r>
        <w:rPr>
          <w:i/>
          <w:iCs/>
        </w:rPr>
        <w:t>Id</w:t>
      </w:r>
      <w:r>
        <w:t>. at 8.</w:t>
      </w:r>
    </w:p>
  </w:footnote>
  <w:footnote w:id="6">
    <w:p w14:paraId="7B0E4E11" w14:textId="2BEB7D78" w:rsidR="00361406" w:rsidRDefault="00361406" w:rsidP="000F7DAF">
      <w:pPr>
        <w:pStyle w:val="FootnoteText"/>
        <w:spacing w:line="240" w:lineRule="auto"/>
      </w:pPr>
      <w:r>
        <w:rPr>
          <w:rStyle w:val="FootnoteReference"/>
        </w:rPr>
        <w:footnoteRef/>
      </w:r>
      <w:r>
        <w:t xml:space="preserve">  </w:t>
      </w:r>
      <w:r>
        <w:rPr>
          <w:i/>
          <w:iCs/>
        </w:rPr>
        <w:t>Id</w:t>
      </w:r>
      <w:r>
        <w:t xml:space="preserve">. at 8-9. </w:t>
      </w:r>
    </w:p>
  </w:footnote>
  <w:footnote w:id="7">
    <w:p w14:paraId="243C0352" w14:textId="77777777" w:rsidR="005164B7" w:rsidRDefault="005164B7" w:rsidP="000F7DAF">
      <w:pPr>
        <w:pStyle w:val="FootnoteText"/>
        <w:spacing w:line="240" w:lineRule="auto"/>
      </w:pPr>
      <w:r>
        <w:rPr>
          <w:rStyle w:val="FootnoteReference"/>
        </w:rPr>
        <w:footnoteRef/>
      </w:r>
      <w:r>
        <w:t xml:space="preserve">  </w:t>
      </w:r>
      <w:r>
        <w:rPr>
          <w:i/>
          <w:iCs/>
        </w:rPr>
        <w:t>Id</w:t>
      </w:r>
      <w:r>
        <w:t xml:space="preserve">. at 9. </w:t>
      </w:r>
    </w:p>
  </w:footnote>
  <w:footnote w:id="8">
    <w:p w14:paraId="349271E2" w14:textId="6C591F7D" w:rsidR="0077403E" w:rsidRDefault="0077403E" w:rsidP="000F7DAF">
      <w:pPr>
        <w:pStyle w:val="FootnoteText"/>
        <w:spacing w:line="240" w:lineRule="auto"/>
      </w:pPr>
      <w:r>
        <w:rPr>
          <w:rStyle w:val="FootnoteReference"/>
        </w:rPr>
        <w:footnoteRef/>
      </w:r>
      <w:r>
        <w:t xml:space="preserve">  </w:t>
      </w:r>
      <w:r>
        <w:rPr>
          <w:i/>
          <w:iCs/>
        </w:rPr>
        <w:t>Id</w:t>
      </w:r>
      <w:r>
        <w:t xml:space="preserve">. at 8. </w:t>
      </w:r>
    </w:p>
  </w:footnote>
  <w:footnote w:id="9">
    <w:p w14:paraId="0BB2D227" w14:textId="3051AA29" w:rsidR="00EE3078" w:rsidRDefault="00EE3078" w:rsidP="000F7DAF">
      <w:pPr>
        <w:pStyle w:val="FootnoteText"/>
        <w:spacing w:line="240" w:lineRule="auto"/>
      </w:pPr>
      <w:r>
        <w:rPr>
          <w:rStyle w:val="FootnoteReference"/>
        </w:rPr>
        <w:footnoteRef/>
      </w:r>
      <w:r>
        <w:t xml:space="preserve">  </w:t>
      </w:r>
      <w:r>
        <w:rPr>
          <w:i/>
          <w:iCs/>
        </w:rPr>
        <w:t>Id</w:t>
      </w:r>
      <w:r>
        <w:t xml:space="preserve">. </w:t>
      </w:r>
    </w:p>
  </w:footnote>
  <w:footnote w:id="10">
    <w:p w14:paraId="41F5F666" w14:textId="3C1C60BB" w:rsidR="00641E43" w:rsidRDefault="00641E43" w:rsidP="000F7DAF">
      <w:pPr>
        <w:pStyle w:val="FootnoteText"/>
        <w:spacing w:line="240" w:lineRule="auto"/>
      </w:pPr>
      <w:r>
        <w:rPr>
          <w:rStyle w:val="FootnoteReference"/>
        </w:rPr>
        <w:footnoteRef/>
      </w:r>
      <w:r>
        <w:t xml:space="preserve">  </w:t>
      </w:r>
      <w:r>
        <w:rPr>
          <w:i/>
          <w:iCs/>
        </w:rPr>
        <w:t>Id</w:t>
      </w:r>
      <w:r>
        <w:t xml:space="preserve">.  </w:t>
      </w:r>
    </w:p>
  </w:footnote>
  <w:footnote w:id="11">
    <w:p w14:paraId="1811745D" w14:textId="715A1E0D" w:rsidR="003C7EC3" w:rsidRDefault="003C7EC3" w:rsidP="000F7DAF">
      <w:pPr>
        <w:pStyle w:val="FootnoteText"/>
        <w:spacing w:line="240" w:lineRule="auto"/>
      </w:pPr>
      <w:r>
        <w:rPr>
          <w:rStyle w:val="FootnoteReference"/>
        </w:rPr>
        <w:footnoteRef/>
      </w:r>
      <w:r>
        <w:t xml:space="preserve">  </w:t>
      </w:r>
      <w:r>
        <w:rPr>
          <w:i/>
          <w:iCs/>
        </w:rPr>
        <w:t>Id</w:t>
      </w:r>
      <w:r>
        <w:t>.</w:t>
      </w:r>
      <w:r w:rsidR="00024C2C">
        <w:t xml:space="preserve"> at 10</w:t>
      </w:r>
      <w:r w:rsidR="001528E1">
        <w:t>.</w:t>
      </w:r>
    </w:p>
  </w:footnote>
  <w:footnote w:id="12">
    <w:p w14:paraId="3C5388C2" w14:textId="12BFAA47" w:rsidR="00024C2C" w:rsidRDefault="00024C2C" w:rsidP="000F7DAF">
      <w:pPr>
        <w:pStyle w:val="FootnoteText"/>
        <w:spacing w:line="240" w:lineRule="auto"/>
      </w:pPr>
      <w:r>
        <w:rPr>
          <w:rStyle w:val="FootnoteReference"/>
        </w:rPr>
        <w:footnoteRef/>
      </w:r>
      <w:r>
        <w:t xml:space="preserve">  </w:t>
      </w:r>
      <w:r>
        <w:rPr>
          <w:i/>
          <w:iCs/>
        </w:rPr>
        <w:t>Id</w:t>
      </w:r>
      <w:r>
        <w:t xml:space="preserve">.  </w:t>
      </w:r>
    </w:p>
  </w:footnote>
  <w:footnote w:id="13">
    <w:p w14:paraId="23D22AEC" w14:textId="09FD50A2" w:rsidR="003C3037" w:rsidRDefault="003C3037" w:rsidP="000F7DAF">
      <w:pPr>
        <w:pStyle w:val="FootnoteText"/>
        <w:spacing w:line="240" w:lineRule="auto"/>
      </w:pPr>
      <w:r>
        <w:rPr>
          <w:rStyle w:val="FootnoteReference"/>
        </w:rPr>
        <w:footnoteRef/>
      </w:r>
      <w:r>
        <w:t xml:space="preserve">  </w:t>
      </w:r>
      <w:r>
        <w:rPr>
          <w:i/>
          <w:iCs/>
        </w:rPr>
        <w:t>Id</w:t>
      </w:r>
      <w:r>
        <w:t xml:space="preserve">.  </w:t>
      </w:r>
    </w:p>
  </w:footnote>
  <w:footnote w:id="14">
    <w:p w14:paraId="244FD1CD" w14:textId="7B2D2E54" w:rsidR="008E0690" w:rsidRDefault="008E0690" w:rsidP="000F7DAF">
      <w:pPr>
        <w:pStyle w:val="FootnoteText"/>
        <w:spacing w:line="240" w:lineRule="auto"/>
      </w:pPr>
      <w:r>
        <w:rPr>
          <w:rStyle w:val="FootnoteReference"/>
        </w:rPr>
        <w:footnoteRef/>
      </w:r>
      <w:r>
        <w:t xml:space="preserve">  </w:t>
      </w:r>
      <w:r>
        <w:rPr>
          <w:i/>
          <w:iCs/>
        </w:rPr>
        <w:t>Id</w:t>
      </w:r>
      <w:r>
        <w:t>.</w:t>
      </w:r>
      <w:r w:rsidR="00B753E4">
        <w:t xml:space="preserve"> at 10-11.</w:t>
      </w:r>
    </w:p>
  </w:footnote>
  <w:footnote w:id="15">
    <w:p w14:paraId="251F6B86" w14:textId="2073F48A" w:rsidR="00205C60" w:rsidRDefault="00205C60" w:rsidP="000F7DAF">
      <w:pPr>
        <w:pStyle w:val="FootnoteText"/>
        <w:spacing w:line="240" w:lineRule="auto"/>
      </w:pPr>
      <w:r>
        <w:rPr>
          <w:rStyle w:val="FootnoteReference"/>
        </w:rPr>
        <w:footnoteRef/>
      </w:r>
      <w:r>
        <w:t xml:space="preserve">  PFD at 17, 26, and 31</w:t>
      </w:r>
      <w:r w:rsidR="00643802">
        <w:t>.</w:t>
      </w:r>
      <w:r>
        <w:t xml:space="preserve"> </w:t>
      </w:r>
    </w:p>
  </w:footnote>
  <w:footnote w:id="16">
    <w:p w14:paraId="6CF069FF" w14:textId="7D533D8E" w:rsidR="00643802" w:rsidRDefault="00643802" w:rsidP="000F7DAF">
      <w:pPr>
        <w:pStyle w:val="FootnoteText"/>
        <w:spacing w:line="240" w:lineRule="auto"/>
      </w:pPr>
      <w:r>
        <w:rPr>
          <w:rStyle w:val="FootnoteReference"/>
        </w:rPr>
        <w:footnoteRef/>
      </w:r>
      <w:r>
        <w:t xml:space="preserve">  </w:t>
      </w:r>
      <w:r>
        <w:rPr>
          <w:i/>
          <w:iCs/>
        </w:rPr>
        <w:t>Id</w:t>
      </w:r>
      <w:r>
        <w:t xml:space="preserve">. at 26. </w:t>
      </w:r>
    </w:p>
  </w:footnote>
  <w:footnote w:id="17">
    <w:p w14:paraId="0D3F425A" w14:textId="755E2305" w:rsidR="00643802" w:rsidRDefault="00643802" w:rsidP="000F7DAF">
      <w:pPr>
        <w:pStyle w:val="FootnoteText"/>
        <w:spacing w:line="240" w:lineRule="auto"/>
      </w:pPr>
      <w:r>
        <w:rPr>
          <w:rStyle w:val="FootnoteReference"/>
        </w:rPr>
        <w:footnoteRef/>
      </w:r>
      <w:r>
        <w:t xml:space="preserve">  Staff’s Initial Brief at 11. </w:t>
      </w:r>
    </w:p>
  </w:footnote>
  <w:footnote w:id="18">
    <w:p w14:paraId="3D83D76C" w14:textId="25763898" w:rsidR="00643802" w:rsidRDefault="00643802" w:rsidP="000F7DAF">
      <w:pPr>
        <w:pStyle w:val="FootnoteText"/>
        <w:spacing w:line="240" w:lineRule="auto"/>
      </w:pPr>
      <w:r>
        <w:rPr>
          <w:rStyle w:val="FootnoteReference"/>
        </w:rPr>
        <w:footnoteRef/>
      </w:r>
      <w:r>
        <w:t xml:space="preserve">  </w:t>
      </w:r>
      <w:r>
        <w:rPr>
          <w:i/>
          <w:iCs/>
        </w:rPr>
        <w:t>Id</w:t>
      </w:r>
      <w:r>
        <w:t xml:space="preserve">. </w:t>
      </w:r>
    </w:p>
  </w:footnote>
  <w:footnote w:id="19">
    <w:p w14:paraId="2E8F655A" w14:textId="010EAB5E" w:rsidR="0034034A" w:rsidRDefault="0034034A" w:rsidP="000F7DAF">
      <w:pPr>
        <w:pStyle w:val="FootnoteText"/>
        <w:spacing w:line="240" w:lineRule="auto"/>
      </w:pPr>
      <w:r>
        <w:rPr>
          <w:rStyle w:val="FootnoteReference"/>
        </w:rPr>
        <w:footnoteRef/>
      </w:r>
      <w:r>
        <w:t xml:space="preserve">  </w:t>
      </w:r>
      <w:r>
        <w:rPr>
          <w:i/>
          <w:iCs/>
        </w:rPr>
        <w:t>Id</w:t>
      </w:r>
      <w:r>
        <w:t xml:space="preserve">. (citing to Docket Nos. 42742, 50786, and 54241). </w:t>
      </w:r>
    </w:p>
  </w:footnote>
  <w:footnote w:id="20">
    <w:p w14:paraId="657DFC7C" w14:textId="18604A7F" w:rsidR="00882B3B" w:rsidRDefault="00882B3B" w:rsidP="000F7DAF">
      <w:pPr>
        <w:pStyle w:val="FootnoteText"/>
        <w:spacing w:line="240" w:lineRule="auto"/>
      </w:pPr>
      <w:r>
        <w:rPr>
          <w:rStyle w:val="FootnoteReference"/>
        </w:rPr>
        <w:footnoteRef/>
      </w:r>
      <w:r>
        <w:t xml:space="preserve">  PFD at 10-12. </w:t>
      </w:r>
    </w:p>
  </w:footnote>
  <w:footnote w:id="21">
    <w:p w14:paraId="63CE7C9B" w14:textId="04C51BB3" w:rsidR="00882B3B" w:rsidRDefault="00882B3B" w:rsidP="000F7DAF">
      <w:pPr>
        <w:pStyle w:val="FootnoteText"/>
        <w:spacing w:line="240" w:lineRule="auto"/>
      </w:pPr>
      <w:r>
        <w:rPr>
          <w:rStyle w:val="FootnoteReference"/>
        </w:rPr>
        <w:footnoteRef/>
      </w:r>
      <w:r>
        <w:t xml:space="preserve">  </w:t>
      </w:r>
      <w:r w:rsidR="0097478C">
        <w:rPr>
          <w:i/>
          <w:iCs/>
        </w:rPr>
        <w:t>Id</w:t>
      </w:r>
      <w:r w:rsidR="0097478C">
        <w:t xml:space="preserve">. </w:t>
      </w:r>
      <w:r>
        <w:t xml:space="preserve">at 10-11 (citing to PURA </w:t>
      </w:r>
      <w:r w:rsidRPr="00882B3B">
        <w:t>§ 36.204</w:t>
      </w:r>
      <w:r>
        <w:t>).</w:t>
      </w:r>
    </w:p>
  </w:footnote>
  <w:footnote w:id="22">
    <w:p w14:paraId="71314CEB" w14:textId="1263B407" w:rsidR="00967785" w:rsidRDefault="00967785" w:rsidP="000F7DAF">
      <w:pPr>
        <w:pStyle w:val="FootnoteText"/>
        <w:spacing w:line="240" w:lineRule="auto"/>
      </w:pPr>
      <w:r>
        <w:rPr>
          <w:rStyle w:val="FootnoteReference"/>
        </w:rPr>
        <w:footnoteRef/>
      </w:r>
      <w:r>
        <w:t xml:space="preserve">  </w:t>
      </w:r>
      <w:r w:rsidR="0097478C">
        <w:rPr>
          <w:i/>
          <w:iCs/>
        </w:rPr>
        <w:t>Id</w:t>
      </w:r>
      <w:r w:rsidR="0097478C">
        <w:t>.</w:t>
      </w:r>
      <w:r>
        <w:t xml:space="preserve"> at 11. </w:t>
      </w:r>
    </w:p>
  </w:footnote>
  <w:footnote w:id="23">
    <w:p w14:paraId="3680EDB6" w14:textId="31CAA1BD" w:rsidR="0097478C" w:rsidRDefault="0097478C" w:rsidP="000F7DAF">
      <w:pPr>
        <w:pStyle w:val="FootnoteText"/>
        <w:spacing w:line="240" w:lineRule="auto"/>
      </w:pPr>
      <w:r>
        <w:rPr>
          <w:rStyle w:val="FootnoteReference"/>
        </w:rPr>
        <w:footnoteRef/>
      </w:r>
      <w:r>
        <w:t xml:space="preserve">  </w:t>
      </w:r>
      <w:r>
        <w:rPr>
          <w:i/>
          <w:iCs/>
        </w:rPr>
        <w:t>Id</w:t>
      </w:r>
      <w:r>
        <w:t xml:space="preserve">. </w:t>
      </w:r>
    </w:p>
  </w:footnote>
  <w:footnote w:id="24">
    <w:p w14:paraId="46A71E7C" w14:textId="61CF707F" w:rsidR="0097478C" w:rsidRDefault="0097478C" w:rsidP="000F7DAF">
      <w:pPr>
        <w:pStyle w:val="FootnoteText"/>
        <w:spacing w:line="240" w:lineRule="auto"/>
      </w:pPr>
      <w:r>
        <w:rPr>
          <w:rStyle w:val="FootnoteReference"/>
        </w:rPr>
        <w:footnoteRef/>
      </w:r>
      <w:r>
        <w:t xml:space="preserve">  </w:t>
      </w:r>
      <w:r>
        <w:rPr>
          <w:i/>
          <w:iCs/>
        </w:rPr>
        <w:t>Id</w:t>
      </w:r>
      <w:r>
        <w:t>.</w:t>
      </w:r>
    </w:p>
  </w:footnote>
  <w:footnote w:id="25">
    <w:p w14:paraId="566847DC" w14:textId="499243DA" w:rsidR="0097478C" w:rsidRDefault="0097478C" w:rsidP="000F7DAF">
      <w:pPr>
        <w:pStyle w:val="FootnoteText"/>
        <w:spacing w:line="240" w:lineRule="auto"/>
      </w:pPr>
      <w:r>
        <w:rPr>
          <w:rStyle w:val="FootnoteReference"/>
        </w:rPr>
        <w:footnoteRef/>
      </w:r>
      <w:r>
        <w:t xml:space="preserve">  </w:t>
      </w:r>
      <w:r>
        <w:rPr>
          <w:i/>
          <w:iCs/>
        </w:rPr>
        <w:t>Id</w:t>
      </w:r>
      <w:r>
        <w:t xml:space="preserve">.  </w:t>
      </w:r>
    </w:p>
  </w:footnote>
  <w:footnote w:id="26">
    <w:p w14:paraId="6D8E9CC6" w14:textId="14585AC0" w:rsidR="00200BBF" w:rsidRDefault="00200BBF" w:rsidP="000F7DAF">
      <w:pPr>
        <w:pStyle w:val="FootnoteText"/>
        <w:spacing w:line="240" w:lineRule="auto"/>
      </w:pPr>
      <w:r>
        <w:rPr>
          <w:rStyle w:val="FootnoteReference"/>
        </w:rPr>
        <w:footnoteRef/>
      </w:r>
      <w:r>
        <w:t xml:space="preserve">  </w:t>
      </w:r>
      <w:r>
        <w:rPr>
          <w:i/>
          <w:iCs/>
        </w:rPr>
        <w:t xml:space="preserve">See </w:t>
      </w:r>
      <w:r>
        <w:t>PURA</w:t>
      </w:r>
      <w:r w:rsidRPr="00200BBF">
        <w:t xml:space="preserve"> § 3</w:t>
      </w:r>
      <w:r>
        <w:t>9.905(b)(1)-(2).</w:t>
      </w:r>
      <w:r w:rsidRPr="00200BBF">
        <w:t xml:space="preserve"> </w:t>
      </w:r>
      <w:r>
        <w:t xml:space="preserve"> </w:t>
      </w:r>
    </w:p>
  </w:footnote>
  <w:footnote w:id="27">
    <w:p w14:paraId="27F1F48C" w14:textId="21B8FD01" w:rsidR="00AD3C05" w:rsidRDefault="00AD3C05" w:rsidP="000F7DAF">
      <w:pPr>
        <w:pStyle w:val="FootnoteText"/>
        <w:spacing w:line="240" w:lineRule="auto"/>
      </w:pPr>
      <w:r>
        <w:rPr>
          <w:rStyle w:val="FootnoteReference"/>
        </w:rPr>
        <w:footnoteRef/>
      </w:r>
      <w:r w:rsidR="00BF7C1C">
        <w:t xml:space="preserve">  </w:t>
      </w:r>
      <w:r w:rsidR="00BF7C1C">
        <w:rPr>
          <w:i/>
          <w:iCs/>
        </w:rPr>
        <w:t>See Rulemaking Proceeding to Amend Energy Efficiency Rules</w:t>
      </w:r>
      <w:r w:rsidR="00BF7C1C">
        <w:t xml:space="preserve">, Project No. 37623, Order Adopting Amendment to </w:t>
      </w:r>
      <w:r w:rsidR="00BF7C1C" w:rsidRPr="00BF7C1C">
        <w:t>§</w:t>
      </w:r>
      <w:r w:rsidR="00BF7C1C">
        <w:t xml:space="preserve"> 25.181 as approved at the July 30, 2010 Open Meeting </w:t>
      </w:r>
      <w:r w:rsidR="00F37E59">
        <w:t xml:space="preserve">at 76 (Aug. 9, 2010) </w:t>
      </w:r>
      <w:r w:rsidR="00BF7C1C">
        <w:t xml:space="preserve">(discussing 16 TAC </w:t>
      </w:r>
      <w:r w:rsidR="00BF7C1C" w:rsidRPr="00BF7C1C">
        <w:t>§</w:t>
      </w:r>
      <w:r w:rsidR="00F37E59">
        <w:t> </w:t>
      </w:r>
      <w:r w:rsidR="00BF7C1C">
        <w:t xml:space="preserve">25.181(h), the predecessor to 16 TAC </w:t>
      </w:r>
      <w:r w:rsidR="00BF7C1C" w:rsidRPr="00BF7C1C">
        <w:t>§</w:t>
      </w:r>
      <w:r w:rsidR="00BF7C1C">
        <w:t xml:space="preserve"> 25.182(e)).</w:t>
      </w:r>
      <w:r>
        <w:t xml:space="preserve">   </w:t>
      </w:r>
    </w:p>
  </w:footnote>
  <w:footnote w:id="28">
    <w:p w14:paraId="37CFA607" w14:textId="3F7B42C8" w:rsidR="00DC6DC1" w:rsidRDefault="00DC6DC1" w:rsidP="000F7DAF">
      <w:pPr>
        <w:pStyle w:val="FootnoteText"/>
        <w:spacing w:line="240" w:lineRule="auto"/>
      </w:pPr>
      <w:r>
        <w:rPr>
          <w:rStyle w:val="FootnoteReference"/>
        </w:rPr>
        <w:footnoteRef/>
      </w:r>
      <w:r>
        <w:t xml:space="preserve">  </w:t>
      </w:r>
      <w:r w:rsidRPr="00DC6DC1">
        <w:t>PURA § 39.905(b)(4)</w:t>
      </w:r>
      <w:r>
        <w:t>.</w:t>
      </w:r>
      <w:r w:rsidRPr="00DC6DC1">
        <w:t xml:space="preserve"> </w:t>
      </w:r>
      <w:r>
        <w:t xml:space="preserve"> </w:t>
      </w:r>
    </w:p>
  </w:footnote>
  <w:footnote w:id="29">
    <w:p w14:paraId="3332B1A3" w14:textId="72DDAF02" w:rsidR="007170B2" w:rsidRDefault="007170B2" w:rsidP="000F7DAF">
      <w:pPr>
        <w:pStyle w:val="FootnoteText"/>
        <w:spacing w:line="240" w:lineRule="auto"/>
      </w:pPr>
      <w:r>
        <w:rPr>
          <w:rStyle w:val="FootnoteReference"/>
        </w:rPr>
        <w:footnoteRef/>
      </w:r>
      <w:r>
        <w:t xml:space="preserve">  16 TAC </w:t>
      </w:r>
      <w:r w:rsidRPr="007170B2">
        <w:t>§</w:t>
      </w:r>
      <w:r>
        <w:t xml:space="preserve"> 25.182(d)(2). </w:t>
      </w:r>
    </w:p>
  </w:footnote>
  <w:footnote w:id="30">
    <w:p w14:paraId="132083EA" w14:textId="392B6185" w:rsidR="007170B2" w:rsidRDefault="007170B2" w:rsidP="000F7DAF">
      <w:pPr>
        <w:pStyle w:val="FootnoteText"/>
        <w:spacing w:line="240" w:lineRule="auto"/>
      </w:pPr>
      <w:r>
        <w:rPr>
          <w:rStyle w:val="FootnoteReference"/>
        </w:rPr>
        <w:footnoteRef/>
      </w:r>
      <w:r>
        <w:t xml:space="preserve">  PFD at 11. </w:t>
      </w:r>
    </w:p>
  </w:footnote>
  <w:footnote w:id="31">
    <w:p w14:paraId="6CF4C916" w14:textId="5FD58872" w:rsidR="00EC1F51" w:rsidRDefault="00EC1F51" w:rsidP="000F7DAF">
      <w:pPr>
        <w:pStyle w:val="FootnoteText"/>
        <w:spacing w:line="240" w:lineRule="auto"/>
      </w:pPr>
      <w:r>
        <w:rPr>
          <w:rStyle w:val="FootnoteReference"/>
        </w:rPr>
        <w:footnoteRef/>
      </w:r>
      <w:r>
        <w:t xml:space="preserve">  </w:t>
      </w:r>
      <w:r w:rsidR="003100F1">
        <w:rPr>
          <w:i/>
          <w:iCs/>
        </w:rPr>
        <w:t>See Rulemaking Proceeding to Amend Energy Efficiency Rules</w:t>
      </w:r>
      <w:r w:rsidR="003100F1">
        <w:t xml:space="preserve">, Project No. 39674, Order Adopting Amendments to </w:t>
      </w:r>
      <w:r w:rsidR="003100F1" w:rsidRPr="00BF7C1C">
        <w:t>§</w:t>
      </w:r>
      <w:r w:rsidR="003100F1">
        <w:t xml:space="preserve"> 25.181 as approved at the September 28, 2012 Open Meeting at 91-93 (Oct. 17, 2012).</w:t>
      </w:r>
    </w:p>
  </w:footnote>
  <w:footnote w:id="32">
    <w:p w14:paraId="30A2CDA1" w14:textId="3BABE875" w:rsidR="00F533CA" w:rsidRDefault="00F533CA" w:rsidP="000F7DAF">
      <w:pPr>
        <w:pStyle w:val="FootnoteText"/>
        <w:spacing w:line="240" w:lineRule="auto"/>
      </w:pPr>
      <w:r>
        <w:rPr>
          <w:rStyle w:val="FootnoteReference"/>
        </w:rPr>
        <w:footnoteRef/>
      </w:r>
      <w:r>
        <w:t xml:space="preserve">  </w:t>
      </w:r>
      <w:r>
        <w:rPr>
          <w:i/>
          <w:iCs/>
        </w:rPr>
        <w:t xml:space="preserve">See also </w:t>
      </w:r>
      <w:r>
        <w:t>16</w:t>
      </w:r>
      <w:r>
        <w:rPr>
          <w:bCs/>
        </w:rPr>
        <w:t xml:space="preserve"> TAC </w:t>
      </w:r>
      <w:r w:rsidRPr="00435CA7">
        <w:rPr>
          <w:bCs/>
          <w:sz w:val="24"/>
        </w:rPr>
        <w:t>§</w:t>
      </w:r>
      <w:r>
        <w:rPr>
          <w:bCs/>
        </w:rPr>
        <w:t> 25.181(c)(11).</w:t>
      </w:r>
      <w:r>
        <w:t xml:space="preserve">   </w:t>
      </w:r>
    </w:p>
  </w:footnote>
  <w:footnote w:id="33">
    <w:p w14:paraId="5D5E3B18" w14:textId="4FAB98D4" w:rsidR="00BE597C" w:rsidRDefault="00BE597C" w:rsidP="000F7DAF">
      <w:pPr>
        <w:pStyle w:val="FootnoteText"/>
        <w:spacing w:line="240" w:lineRule="auto"/>
      </w:pPr>
      <w:r>
        <w:rPr>
          <w:rStyle w:val="FootnoteReference"/>
        </w:rPr>
        <w:footnoteRef/>
      </w:r>
      <w:r>
        <w:t xml:space="preserve">  PFD at 12. </w:t>
      </w:r>
    </w:p>
  </w:footnote>
  <w:footnote w:id="34">
    <w:p w14:paraId="2E013D8B" w14:textId="13998FF9" w:rsidR="00BE597C" w:rsidRDefault="00BE597C" w:rsidP="000F7DAF">
      <w:pPr>
        <w:pStyle w:val="FootnoteText"/>
        <w:spacing w:line="240" w:lineRule="auto"/>
      </w:pPr>
      <w:r>
        <w:rPr>
          <w:rStyle w:val="FootnoteReference"/>
        </w:rPr>
        <w:footnoteRef/>
      </w:r>
      <w:r>
        <w:t xml:space="preserve">  </w:t>
      </w:r>
      <w:r>
        <w:rPr>
          <w:i/>
          <w:iCs/>
        </w:rPr>
        <w:t>Id</w:t>
      </w:r>
      <w:r>
        <w:t xml:space="preserve">. at 10. </w:t>
      </w:r>
    </w:p>
  </w:footnote>
  <w:footnote w:id="35">
    <w:p w14:paraId="438B309E" w14:textId="2B84D6E6" w:rsidR="007C1CCF" w:rsidRDefault="007C1CCF" w:rsidP="000F7DAF">
      <w:pPr>
        <w:pStyle w:val="FootnoteText"/>
        <w:spacing w:line="240" w:lineRule="auto"/>
      </w:pPr>
      <w:r>
        <w:rPr>
          <w:rStyle w:val="FootnoteReference"/>
        </w:rPr>
        <w:footnoteRef/>
      </w:r>
      <w:r>
        <w:t xml:space="preserve">  Commission Staff’s Reply Brief at</w:t>
      </w:r>
      <w:r w:rsidR="007F3CE9">
        <w:t xml:space="preserve"> 5 (May 2, 2024) (Staff’s Reply Brief).</w:t>
      </w:r>
      <w:r>
        <w:t xml:space="preserve">  </w:t>
      </w:r>
    </w:p>
  </w:footnote>
  <w:footnote w:id="36">
    <w:p w14:paraId="5D4D1B67" w14:textId="68C72C56" w:rsidR="00EC3122" w:rsidRDefault="00EC3122" w:rsidP="000F7DAF">
      <w:pPr>
        <w:pStyle w:val="FootnoteText"/>
        <w:spacing w:line="240" w:lineRule="auto"/>
      </w:pPr>
      <w:r>
        <w:rPr>
          <w:rStyle w:val="FootnoteReference"/>
        </w:rPr>
        <w:footnoteRef/>
      </w:r>
      <w:r>
        <w:t xml:space="preserve">  </w:t>
      </w:r>
      <w:r>
        <w:rPr>
          <w:i/>
          <w:iCs/>
        </w:rPr>
        <w:t>Id</w:t>
      </w:r>
      <w:r>
        <w:t xml:space="preserve">.; </w:t>
      </w:r>
      <w:r>
        <w:rPr>
          <w:i/>
          <w:iCs/>
        </w:rPr>
        <w:t xml:space="preserve">see also </w:t>
      </w:r>
      <w:r>
        <w:t xml:space="preserve">Staff’s Initial Brief at 8.  </w:t>
      </w:r>
    </w:p>
  </w:footnote>
  <w:footnote w:id="37">
    <w:p w14:paraId="027B2AEA" w14:textId="18F053C0" w:rsidR="007C1CD8" w:rsidRDefault="007C1CD8" w:rsidP="000F7DAF">
      <w:pPr>
        <w:pStyle w:val="FootnoteText"/>
        <w:spacing w:line="240" w:lineRule="auto"/>
      </w:pPr>
      <w:r>
        <w:rPr>
          <w:rStyle w:val="FootnoteReference"/>
        </w:rPr>
        <w:footnoteRef/>
      </w:r>
      <w:r>
        <w:t xml:space="preserve">  </w:t>
      </w:r>
      <w:r>
        <w:rPr>
          <w:i/>
          <w:iCs/>
        </w:rPr>
        <w:t>See</w:t>
      </w:r>
      <w:r>
        <w:t xml:space="preserve"> Project No. 39674, Order Adopting Amendments to </w:t>
      </w:r>
      <w:r w:rsidRPr="00BF7C1C">
        <w:t>§</w:t>
      </w:r>
      <w:r>
        <w:t xml:space="preserve"> 25.181 as approved at the September 28, 2012 Open Meeting at 48 and </w:t>
      </w:r>
      <w:r w:rsidR="00753575">
        <w:t>52.</w:t>
      </w:r>
    </w:p>
  </w:footnote>
  <w:footnote w:id="38">
    <w:p w14:paraId="0E1F845A" w14:textId="62E5A10B" w:rsidR="00205BEE" w:rsidRDefault="00205BEE" w:rsidP="000F7DAF">
      <w:pPr>
        <w:pStyle w:val="FootnoteText"/>
        <w:spacing w:line="240" w:lineRule="auto"/>
      </w:pPr>
      <w:r>
        <w:rPr>
          <w:rStyle w:val="FootnoteReference"/>
        </w:rPr>
        <w:footnoteRef/>
      </w:r>
      <w:r>
        <w:t xml:space="preserve">  PFD at 12.  </w:t>
      </w:r>
    </w:p>
  </w:footnote>
  <w:footnote w:id="39">
    <w:p w14:paraId="66C55372" w14:textId="632A09C4" w:rsidR="00205BEE" w:rsidRDefault="00205BEE" w:rsidP="000F7DAF">
      <w:pPr>
        <w:pStyle w:val="FootnoteText"/>
        <w:spacing w:line="240" w:lineRule="auto"/>
      </w:pPr>
      <w:r>
        <w:rPr>
          <w:rStyle w:val="FootnoteReference"/>
        </w:rPr>
        <w:footnoteRef/>
      </w:r>
      <w:r w:rsidR="0060118E">
        <w:t xml:space="preserve">  OPUC’s Post-Hearing Reply Brief at 3 (May 2, 2024).  </w:t>
      </w:r>
      <w:r>
        <w:t xml:space="preserve"> </w:t>
      </w:r>
    </w:p>
  </w:footnote>
  <w:footnote w:id="40">
    <w:p w14:paraId="3F100E4A" w14:textId="7EB35C7B" w:rsidR="00725CA9" w:rsidRDefault="00725CA9" w:rsidP="000F7DAF">
      <w:pPr>
        <w:pStyle w:val="FootnoteText"/>
        <w:spacing w:line="240" w:lineRule="auto"/>
      </w:pPr>
      <w:r>
        <w:rPr>
          <w:rStyle w:val="FootnoteReference"/>
        </w:rPr>
        <w:footnoteRef/>
      </w:r>
      <w:r>
        <w:t xml:space="preserve">  OPUC’s Post-Hearing Initial Brief at 5-6 (Apr. 18, 2024). </w:t>
      </w:r>
    </w:p>
  </w:footnote>
  <w:footnote w:id="41">
    <w:p w14:paraId="2772BA5A" w14:textId="083A4021" w:rsidR="00725CA9" w:rsidRDefault="00725CA9" w:rsidP="000F7DAF">
      <w:pPr>
        <w:pStyle w:val="FootnoteText"/>
        <w:spacing w:line="240" w:lineRule="auto"/>
      </w:pPr>
      <w:r>
        <w:rPr>
          <w:rStyle w:val="FootnoteReference"/>
        </w:rPr>
        <w:footnoteRef/>
      </w:r>
      <w:r>
        <w:t xml:space="preserve">  </w:t>
      </w:r>
      <w:r>
        <w:rPr>
          <w:i/>
          <w:iCs/>
        </w:rPr>
        <w:t>Id</w:t>
      </w:r>
      <w:r>
        <w:t xml:space="preserve">.  </w:t>
      </w:r>
    </w:p>
  </w:footnote>
  <w:footnote w:id="42">
    <w:p w14:paraId="20D0AFBE" w14:textId="17D759FD" w:rsidR="00B2296D" w:rsidRDefault="00B2296D" w:rsidP="000F7DAF">
      <w:pPr>
        <w:pStyle w:val="FootnoteText"/>
        <w:spacing w:line="240" w:lineRule="auto"/>
      </w:pPr>
      <w:r>
        <w:rPr>
          <w:rStyle w:val="FootnoteReference"/>
        </w:rPr>
        <w:footnoteRef/>
      </w:r>
      <w:r>
        <w:t xml:space="preserve">  PFD at proposed Finding of Fact No. 46 </w:t>
      </w:r>
    </w:p>
  </w:footnote>
  <w:footnote w:id="43">
    <w:p w14:paraId="42187115" w14:textId="62246409" w:rsidR="00B2296D" w:rsidRDefault="00B2296D" w:rsidP="000F7DAF">
      <w:pPr>
        <w:pStyle w:val="FootnoteText"/>
        <w:spacing w:line="240" w:lineRule="auto"/>
      </w:pPr>
      <w:r>
        <w:rPr>
          <w:rStyle w:val="FootnoteReference"/>
        </w:rPr>
        <w:footnoteRef/>
      </w:r>
      <w:r>
        <w:t xml:space="preserve">  OPUC’s Post-Hearing Initial Brief at 6.    </w:t>
      </w:r>
    </w:p>
  </w:footnote>
  <w:footnote w:id="44">
    <w:p w14:paraId="504EA9DF" w14:textId="36D13660" w:rsidR="000F7DAF" w:rsidRDefault="000F7DAF" w:rsidP="006C634C">
      <w:pPr>
        <w:pStyle w:val="FootnoteText"/>
        <w:spacing w:line="240" w:lineRule="auto"/>
      </w:pPr>
      <w:r>
        <w:rPr>
          <w:rStyle w:val="FootnoteReference"/>
        </w:rPr>
        <w:footnoteRef/>
      </w:r>
      <w:r>
        <w:t xml:space="preserve">  PFD at 17. </w:t>
      </w:r>
    </w:p>
  </w:footnote>
  <w:footnote w:id="45">
    <w:p w14:paraId="1DAED42B" w14:textId="667451C1" w:rsidR="00C53D79" w:rsidRPr="00FA4F7B" w:rsidRDefault="00C53D79" w:rsidP="006C634C">
      <w:pPr>
        <w:pStyle w:val="FootnoteText"/>
        <w:spacing w:line="240" w:lineRule="auto"/>
      </w:pPr>
      <w:r w:rsidRPr="00FA4F7B">
        <w:rPr>
          <w:rStyle w:val="FootnoteReference"/>
        </w:rPr>
        <w:footnoteRef/>
      </w:r>
      <w:r w:rsidRPr="00FA4F7B">
        <w:t xml:space="preserve">  </w:t>
      </w:r>
      <w:r w:rsidR="00EF2E66">
        <w:rPr>
          <w:i/>
          <w:iCs/>
        </w:rPr>
        <w:t>Id</w:t>
      </w:r>
      <w:r>
        <w:t>.</w:t>
      </w:r>
    </w:p>
  </w:footnote>
  <w:footnote w:id="46">
    <w:p w14:paraId="39CDD62F" w14:textId="77777777" w:rsidR="00C97017" w:rsidRDefault="00C97017" w:rsidP="00C97017">
      <w:pPr>
        <w:pStyle w:val="FootnoteText"/>
        <w:spacing w:line="240" w:lineRule="auto"/>
      </w:pPr>
      <w:r>
        <w:rPr>
          <w:rStyle w:val="FootnoteReference"/>
        </w:rPr>
        <w:footnoteRef/>
      </w:r>
      <w:r>
        <w:t xml:space="preserve">  Staff’s Initial Brief at 12. </w:t>
      </w:r>
    </w:p>
  </w:footnote>
  <w:footnote w:id="47">
    <w:p w14:paraId="7AEA79FD" w14:textId="46CB4E59" w:rsidR="00AE5510" w:rsidRDefault="00AE5510" w:rsidP="006C634C">
      <w:pPr>
        <w:pStyle w:val="FootnoteText"/>
        <w:spacing w:line="240" w:lineRule="auto"/>
      </w:pPr>
      <w:r>
        <w:rPr>
          <w:rStyle w:val="FootnoteReference"/>
        </w:rPr>
        <w:footnoteRef/>
      </w:r>
      <w:r>
        <w:t xml:space="preserve">  Staff’s Reply Brief at</w:t>
      </w:r>
      <w:r w:rsidR="00AD2FA5">
        <w:t xml:space="preserve"> 7.</w:t>
      </w:r>
      <w:r>
        <w:t xml:space="preserve">  </w:t>
      </w:r>
    </w:p>
  </w:footnote>
  <w:footnote w:id="48">
    <w:p w14:paraId="6251E48C" w14:textId="54190FAF" w:rsidR="00570FFE" w:rsidRDefault="00570FFE" w:rsidP="000F7DAF">
      <w:pPr>
        <w:pStyle w:val="FootnoteText"/>
        <w:spacing w:line="240" w:lineRule="auto"/>
      </w:pPr>
      <w:r>
        <w:rPr>
          <w:rStyle w:val="FootnoteReference"/>
        </w:rPr>
        <w:footnoteRef/>
      </w:r>
      <w:r>
        <w:t xml:space="preserve">  </w:t>
      </w:r>
      <w:r w:rsidR="00AE5510">
        <w:t xml:space="preserve">Staff’s Initial Brief </w:t>
      </w:r>
      <w:r>
        <w:t xml:space="preserve">at 13. </w:t>
      </w:r>
    </w:p>
  </w:footnote>
  <w:footnote w:id="49">
    <w:p w14:paraId="4703B461" w14:textId="22F3A54D" w:rsidR="005E3F4B" w:rsidRDefault="005E3F4B" w:rsidP="000F7DAF">
      <w:pPr>
        <w:pStyle w:val="FootnoteText"/>
        <w:spacing w:line="240" w:lineRule="auto"/>
      </w:pPr>
      <w:r>
        <w:rPr>
          <w:rStyle w:val="FootnoteReference"/>
        </w:rPr>
        <w:footnoteRef/>
      </w:r>
      <w:r>
        <w:t xml:space="preserve">  Staff’s Reply Brief at 7.  </w:t>
      </w:r>
    </w:p>
  </w:footnote>
  <w:footnote w:id="50">
    <w:p w14:paraId="1BF0F401" w14:textId="6A02A2BA" w:rsidR="005870B3" w:rsidRDefault="005870B3" w:rsidP="000F7DAF">
      <w:pPr>
        <w:pStyle w:val="FootnoteText"/>
        <w:spacing w:line="240" w:lineRule="auto"/>
      </w:pPr>
      <w:r>
        <w:rPr>
          <w:rStyle w:val="FootnoteReference"/>
        </w:rPr>
        <w:footnoteRef/>
      </w:r>
      <w:r>
        <w:t xml:space="preserve">  PFD at 17. </w:t>
      </w:r>
    </w:p>
  </w:footnote>
  <w:footnote w:id="51">
    <w:p w14:paraId="0686231F" w14:textId="79D6B170" w:rsidR="008010C2" w:rsidRDefault="008010C2" w:rsidP="006C634C">
      <w:pPr>
        <w:pStyle w:val="FootnoteText"/>
        <w:spacing w:line="240" w:lineRule="auto"/>
      </w:pPr>
      <w:r w:rsidRPr="00FA4F7B">
        <w:rPr>
          <w:rStyle w:val="FootnoteReference"/>
        </w:rPr>
        <w:footnoteRef/>
      </w:r>
      <w:r>
        <w:t xml:space="preserve">  </w:t>
      </w:r>
      <w:r w:rsidR="00C536AA">
        <w:rPr>
          <w:i/>
          <w:iCs/>
        </w:rPr>
        <w:t>Id</w:t>
      </w:r>
      <w:r w:rsidRPr="006C634C">
        <w:rPr>
          <w:i/>
          <w:iCs/>
        </w:rPr>
        <w:t>.</w:t>
      </w:r>
    </w:p>
  </w:footnote>
  <w:footnote w:id="52">
    <w:p w14:paraId="6FA4300A" w14:textId="52B98A71" w:rsidR="00C536AA" w:rsidRPr="00FA4F7B" w:rsidRDefault="00C536AA" w:rsidP="006C634C">
      <w:pPr>
        <w:pStyle w:val="FootnoteText"/>
        <w:spacing w:line="240" w:lineRule="auto"/>
      </w:pPr>
      <w:r w:rsidRPr="00FA4F7B">
        <w:rPr>
          <w:rStyle w:val="FootnoteReference"/>
        </w:rPr>
        <w:footnoteRef/>
      </w:r>
      <w:r w:rsidRPr="00FA4F7B">
        <w:t xml:space="preserve">  </w:t>
      </w:r>
      <w:bookmarkStart w:id="5" w:name="_Hlk173284449"/>
      <w:r w:rsidR="00AE5510">
        <w:t>Staff’s Initial Brief at 13</w:t>
      </w:r>
      <w:r w:rsidRPr="00FA4F7B">
        <w:t>.</w:t>
      </w:r>
      <w:bookmarkEnd w:id="5"/>
    </w:p>
  </w:footnote>
  <w:footnote w:id="53">
    <w:p w14:paraId="76A76E1B" w14:textId="16DD98CB" w:rsidR="00AE5510" w:rsidRDefault="00AE5510" w:rsidP="006C634C">
      <w:pPr>
        <w:pStyle w:val="FootnoteText"/>
        <w:spacing w:line="240" w:lineRule="auto"/>
      </w:pPr>
      <w:r>
        <w:rPr>
          <w:rStyle w:val="FootnoteReference"/>
        </w:rPr>
        <w:footnoteRef/>
      </w:r>
      <w:r>
        <w:t xml:space="preserve">  Staff’s Reply Brief at 7. </w:t>
      </w:r>
    </w:p>
  </w:footnote>
  <w:footnote w:id="54">
    <w:p w14:paraId="08D3CFD8" w14:textId="4D7CECFF" w:rsidR="00C536AA" w:rsidRPr="00FA4F7B" w:rsidRDefault="00C536AA" w:rsidP="006C634C">
      <w:pPr>
        <w:pStyle w:val="FootnoteText"/>
        <w:spacing w:line="240" w:lineRule="auto"/>
      </w:pPr>
      <w:r w:rsidRPr="00FA4F7B">
        <w:rPr>
          <w:rStyle w:val="FootnoteReference"/>
        </w:rPr>
        <w:footnoteRef/>
      </w:r>
      <w:r w:rsidRPr="00FA4F7B">
        <w:t xml:space="preserve">  </w:t>
      </w:r>
      <w:r w:rsidRPr="00FA4F7B">
        <w:rPr>
          <w:i/>
          <w:iCs/>
        </w:rPr>
        <w:t>Id</w:t>
      </w:r>
      <w:r w:rsidRPr="00FA4F7B">
        <w:t>.</w:t>
      </w:r>
    </w:p>
  </w:footnote>
  <w:footnote w:id="55">
    <w:p w14:paraId="2C45921C" w14:textId="5DEF4633" w:rsidR="006A20E6" w:rsidRDefault="006A20E6" w:rsidP="000F7DAF">
      <w:pPr>
        <w:pStyle w:val="FootnoteText"/>
        <w:spacing w:line="240" w:lineRule="auto"/>
      </w:pPr>
      <w:r>
        <w:rPr>
          <w:rStyle w:val="FootnoteReference"/>
        </w:rPr>
        <w:footnoteRef/>
      </w:r>
      <w:r>
        <w:t xml:space="preserve">  PFD at 17. </w:t>
      </w:r>
    </w:p>
  </w:footnote>
  <w:footnote w:id="56">
    <w:p w14:paraId="5D6ACAD4" w14:textId="6FAD3AB6" w:rsidR="00F32740" w:rsidRDefault="00F32740" w:rsidP="000F7DAF">
      <w:pPr>
        <w:pStyle w:val="FootnoteText"/>
        <w:spacing w:line="240" w:lineRule="auto"/>
      </w:pPr>
      <w:r>
        <w:rPr>
          <w:rStyle w:val="FootnoteReference"/>
        </w:rPr>
        <w:footnoteRef/>
      </w:r>
      <w:r>
        <w:t xml:space="preserve">  </w:t>
      </w:r>
      <w:r>
        <w:rPr>
          <w:i/>
          <w:iCs/>
        </w:rPr>
        <w:t>Id</w:t>
      </w:r>
      <w:r>
        <w:t xml:space="preserve">. at 17-18. </w:t>
      </w:r>
    </w:p>
  </w:footnote>
  <w:footnote w:id="57">
    <w:p w14:paraId="236A236C" w14:textId="2F0D1ABA" w:rsidR="00F32740" w:rsidRDefault="00F32740" w:rsidP="000F7DAF">
      <w:pPr>
        <w:pStyle w:val="FootnoteText"/>
        <w:spacing w:line="240" w:lineRule="auto"/>
      </w:pPr>
      <w:r>
        <w:rPr>
          <w:rStyle w:val="FootnoteReference"/>
        </w:rPr>
        <w:footnoteRef/>
      </w:r>
      <w:r>
        <w:t xml:space="preserve">  Staff’s Initial Brief at 14. </w:t>
      </w:r>
    </w:p>
  </w:footnote>
  <w:footnote w:id="58">
    <w:p w14:paraId="6C2F6CA9" w14:textId="60272301" w:rsidR="00447BD9" w:rsidRDefault="00447BD9" w:rsidP="000F7DAF">
      <w:pPr>
        <w:pStyle w:val="FootnoteText"/>
        <w:spacing w:line="240" w:lineRule="auto"/>
      </w:pPr>
      <w:r>
        <w:rPr>
          <w:rStyle w:val="FootnoteReference"/>
        </w:rPr>
        <w:footnoteRef/>
      </w:r>
      <w:r>
        <w:t xml:space="preserve">  PFD at 29. </w:t>
      </w:r>
    </w:p>
  </w:footnote>
  <w:footnote w:id="59">
    <w:p w14:paraId="1CA90730" w14:textId="643B2942" w:rsidR="00B3575D" w:rsidRDefault="00B3575D" w:rsidP="000F7DAF">
      <w:pPr>
        <w:pStyle w:val="FootnoteText"/>
        <w:spacing w:line="240" w:lineRule="auto"/>
      </w:pPr>
      <w:r>
        <w:rPr>
          <w:rStyle w:val="FootnoteReference"/>
        </w:rPr>
        <w:footnoteRef/>
      </w:r>
      <w:r>
        <w:t xml:space="preserve">  </w:t>
      </w:r>
      <w:r>
        <w:rPr>
          <w:i/>
          <w:iCs/>
        </w:rPr>
        <w:t>Id</w:t>
      </w:r>
      <w:r>
        <w:t xml:space="preserve">. at proposed Finding of Fact No. 86 (stating only that EPE will not recover expenses for non-public EV charging stations). </w:t>
      </w:r>
    </w:p>
  </w:footnote>
  <w:footnote w:id="60">
    <w:p w14:paraId="61D64284" w14:textId="5C6154FE" w:rsidR="00025CE5" w:rsidRDefault="00025CE5" w:rsidP="000F7DAF">
      <w:pPr>
        <w:pStyle w:val="FootnoteText"/>
        <w:spacing w:line="240" w:lineRule="auto"/>
      </w:pPr>
      <w:r>
        <w:rPr>
          <w:rStyle w:val="FootnoteReference"/>
        </w:rPr>
        <w:footnoteRef/>
      </w:r>
      <w:r>
        <w:t xml:space="preserve">  </w:t>
      </w:r>
      <w:r w:rsidR="00B3575D">
        <w:rPr>
          <w:i/>
          <w:iCs/>
        </w:rPr>
        <w:t>Id</w:t>
      </w:r>
      <w:r w:rsidR="00B3575D">
        <w:t>.</w:t>
      </w:r>
      <w:r>
        <w:t xml:space="preserve"> at 19-21 (citing to PURA </w:t>
      </w:r>
      <w:r w:rsidRPr="00025CE5">
        <w:t>§</w:t>
      </w:r>
      <w:r>
        <w:t xml:space="preserve"> 42.0102(6)-(7)).  </w:t>
      </w:r>
    </w:p>
  </w:footnote>
  <w:footnote w:id="61">
    <w:p w14:paraId="1B23765A" w14:textId="70ADF805" w:rsidR="005D4806" w:rsidRDefault="005D4806" w:rsidP="000F7DAF">
      <w:pPr>
        <w:pStyle w:val="FootnoteText"/>
        <w:spacing w:line="240" w:lineRule="auto"/>
      </w:pPr>
      <w:r>
        <w:rPr>
          <w:rStyle w:val="FootnoteReference"/>
        </w:rPr>
        <w:footnoteRef/>
      </w:r>
      <w:r>
        <w:t xml:space="preserve">  </w:t>
      </w:r>
      <w:r w:rsidR="009D33DF">
        <w:rPr>
          <w:i/>
          <w:iCs/>
        </w:rPr>
        <w:t>Id</w:t>
      </w:r>
      <w:r w:rsidR="009D33DF">
        <w:t>.</w:t>
      </w:r>
      <w:r>
        <w:t xml:space="preserve"> at 20, footnote </w:t>
      </w:r>
      <w:r w:rsidR="00415D9E">
        <w:t>48</w:t>
      </w:r>
      <w:r>
        <w:t xml:space="preserve">. </w:t>
      </w:r>
    </w:p>
  </w:footnote>
  <w:footnote w:id="62">
    <w:p w14:paraId="60AD9FD8" w14:textId="06B40677" w:rsidR="009D33DF" w:rsidRDefault="009D33DF" w:rsidP="000F7DAF">
      <w:pPr>
        <w:pStyle w:val="FootnoteText"/>
        <w:spacing w:line="240" w:lineRule="auto"/>
      </w:pPr>
      <w:r>
        <w:rPr>
          <w:rStyle w:val="FootnoteReference"/>
        </w:rPr>
        <w:footnoteRef/>
      </w:r>
      <w:r>
        <w:t xml:space="preserve">  </w:t>
      </w:r>
      <w:r>
        <w:rPr>
          <w:i/>
          <w:iCs/>
        </w:rPr>
        <w:t>Id</w:t>
      </w:r>
      <w:r>
        <w:t xml:space="preserve">. at 19 and 20, footnote 48.   </w:t>
      </w:r>
    </w:p>
  </w:footnote>
  <w:footnote w:id="63">
    <w:p w14:paraId="5584C83C" w14:textId="3FF09436" w:rsidR="007B7859" w:rsidRDefault="007B7859" w:rsidP="000F7DAF">
      <w:pPr>
        <w:pStyle w:val="FootnoteText"/>
        <w:spacing w:line="240" w:lineRule="auto"/>
      </w:pPr>
      <w:r>
        <w:rPr>
          <w:rStyle w:val="FootnoteReference"/>
        </w:rPr>
        <w:footnoteRef/>
      </w:r>
      <w:r>
        <w:t xml:space="preserve">  </w:t>
      </w:r>
      <w:r>
        <w:rPr>
          <w:i/>
          <w:iCs/>
        </w:rPr>
        <w:t>Id</w:t>
      </w:r>
      <w:r>
        <w:t xml:space="preserve">. </w:t>
      </w:r>
      <w:r w:rsidR="000307C2">
        <w:t xml:space="preserve">at </w:t>
      </w:r>
      <w:r>
        <w:t xml:space="preserve">19. </w:t>
      </w:r>
    </w:p>
  </w:footnote>
  <w:footnote w:id="64">
    <w:p w14:paraId="3F53C56D" w14:textId="3BB2888A" w:rsidR="00DC72AB" w:rsidRDefault="00DC72AB" w:rsidP="000F7DAF">
      <w:pPr>
        <w:pStyle w:val="FootnoteText"/>
        <w:spacing w:line="240" w:lineRule="auto"/>
      </w:pPr>
      <w:r>
        <w:rPr>
          <w:rStyle w:val="FootnoteReference"/>
        </w:rPr>
        <w:footnoteRef/>
      </w:r>
      <w:r>
        <w:t xml:space="preserve">  </w:t>
      </w:r>
      <w:r>
        <w:rPr>
          <w:i/>
          <w:iCs/>
        </w:rPr>
        <w:t>Id</w:t>
      </w:r>
      <w:r>
        <w:t>. at 23</w:t>
      </w:r>
      <w:r w:rsidR="004F6115">
        <w:t>.</w:t>
      </w:r>
      <w:r>
        <w:t xml:space="preserve">   </w:t>
      </w:r>
    </w:p>
  </w:footnote>
  <w:footnote w:id="65">
    <w:p w14:paraId="36106D1D" w14:textId="77777777" w:rsidR="00193C3F" w:rsidRDefault="00193C3F" w:rsidP="000F7DAF">
      <w:pPr>
        <w:pStyle w:val="FootnoteText"/>
        <w:spacing w:line="240" w:lineRule="auto"/>
      </w:pPr>
      <w:r>
        <w:rPr>
          <w:rStyle w:val="FootnoteReference"/>
        </w:rPr>
        <w:footnoteRef/>
      </w:r>
      <w:r>
        <w:t xml:space="preserve">  Staff’s Initial Brief at 14-15. </w:t>
      </w:r>
    </w:p>
  </w:footnote>
  <w:footnote w:id="66">
    <w:p w14:paraId="7ACF3F23" w14:textId="3B0FE332" w:rsidR="00BF1842" w:rsidRDefault="00BF1842" w:rsidP="000F7DAF">
      <w:pPr>
        <w:pStyle w:val="FootnoteText"/>
        <w:spacing w:line="240" w:lineRule="auto"/>
      </w:pPr>
      <w:r>
        <w:rPr>
          <w:rStyle w:val="FootnoteReference"/>
        </w:rPr>
        <w:footnoteRef/>
      </w:r>
      <w:r>
        <w:t xml:space="preserve">  PFD at 25. </w:t>
      </w:r>
    </w:p>
  </w:footnote>
  <w:footnote w:id="67">
    <w:p w14:paraId="10189AFE" w14:textId="6A787855" w:rsidR="00C46EA7" w:rsidRDefault="00C46EA7" w:rsidP="000F7DAF">
      <w:pPr>
        <w:pStyle w:val="FootnoteText"/>
        <w:spacing w:line="240" w:lineRule="auto"/>
      </w:pPr>
      <w:r>
        <w:rPr>
          <w:rStyle w:val="FootnoteReference"/>
        </w:rPr>
        <w:footnoteRef/>
      </w:r>
      <w:r>
        <w:t xml:space="preserve">  </w:t>
      </w:r>
      <w:r>
        <w:rPr>
          <w:i/>
          <w:iCs/>
        </w:rPr>
        <w:t xml:space="preserve">Supra </w:t>
      </w:r>
      <w:r>
        <w:t xml:space="preserve">note 30. </w:t>
      </w:r>
    </w:p>
  </w:footnote>
  <w:footnote w:id="68">
    <w:p w14:paraId="1DB0AA5C" w14:textId="52CE57B7" w:rsidR="00193C3F" w:rsidRDefault="00193C3F" w:rsidP="000F7DAF">
      <w:pPr>
        <w:pStyle w:val="FootnoteText"/>
        <w:spacing w:line="240" w:lineRule="auto"/>
      </w:pPr>
      <w:r>
        <w:rPr>
          <w:rStyle w:val="FootnoteReference"/>
        </w:rPr>
        <w:footnoteRef/>
      </w:r>
      <w:r>
        <w:t xml:space="preserve">  </w:t>
      </w:r>
      <w:r w:rsidR="00BF1842">
        <w:t>Staff’s Initial Brief</w:t>
      </w:r>
      <w:r>
        <w:t xml:space="preserve"> at 15. </w:t>
      </w:r>
    </w:p>
  </w:footnote>
  <w:footnote w:id="69">
    <w:p w14:paraId="3EB7A882" w14:textId="5B8C4B2E" w:rsidR="005B195D" w:rsidRDefault="005B195D" w:rsidP="000F7DAF">
      <w:pPr>
        <w:pStyle w:val="FootnoteText"/>
        <w:spacing w:line="240" w:lineRule="auto"/>
      </w:pPr>
      <w:r>
        <w:rPr>
          <w:rStyle w:val="FootnoteReference"/>
        </w:rPr>
        <w:footnoteRef/>
      </w:r>
      <w:r>
        <w:t xml:space="preserve">  </w:t>
      </w:r>
      <w:r w:rsidR="00023DD6">
        <w:t xml:space="preserve">Direct Testimony of Adrian Narvaez, </w:t>
      </w:r>
      <w:r w:rsidRPr="008C2C9E">
        <w:t xml:space="preserve">Staff Exhibit No. 2 at </w:t>
      </w:r>
      <w:r>
        <w:t>10</w:t>
      </w:r>
      <w:r w:rsidRPr="008C2C9E">
        <w:t>:1</w:t>
      </w:r>
      <w:r>
        <w:t>6</w:t>
      </w:r>
      <w:r w:rsidRPr="008C2C9E">
        <w:t>-</w:t>
      </w:r>
      <w:r>
        <w:t>19</w:t>
      </w:r>
      <w:r w:rsidRPr="008C2C9E">
        <w:t>.</w:t>
      </w:r>
    </w:p>
  </w:footnote>
  <w:footnote w:id="70">
    <w:p w14:paraId="5D7D2A93" w14:textId="3FDA9D40" w:rsidR="005C23C0" w:rsidRDefault="005C23C0" w:rsidP="000F7DAF">
      <w:pPr>
        <w:pStyle w:val="FootnoteText"/>
        <w:spacing w:line="240" w:lineRule="auto"/>
      </w:pPr>
      <w:r>
        <w:rPr>
          <w:rStyle w:val="FootnoteReference"/>
        </w:rPr>
        <w:footnoteRef/>
      </w:r>
      <w:r>
        <w:t xml:space="preserve">  PFD at 25. </w:t>
      </w:r>
    </w:p>
  </w:footnote>
  <w:footnote w:id="71">
    <w:p w14:paraId="3AAC1B04" w14:textId="69C9658C" w:rsidR="00566805" w:rsidRDefault="00566805" w:rsidP="000F7DAF">
      <w:pPr>
        <w:pStyle w:val="FootnoteText"/>
        <w:spacing w:line="240" w:lineRule="auto"/>
      </w:pPr>
      <w:r>
        <w:rPr>
          <w:rStyle w:val="FootnoteReference"/>
        </w:rPr>
        <w:footnoteRef/>
      </w:r>
      <w:r>
        <w:t xml:space="preserve">  Preliminary Order at Issue Nos. 25 and 26 (Nov. 3, 2023).   </w:t>
      </w:r>
    </w:p>
  </w:footnote>
  <w:footnote w:id="72">
    <w:p w14:paraId="52E3FBDA" w14:textId="1A27578B" w:rsidR="00DB4A28" w:rsidRDefault="00DB4A28" w:rsidP="000F7DAF">
      <w:pPr>
        <w:pStyle w:val="FootnoteText"/>
        <w:spacing w:line="240" w:lineRule="auto"/>
      </w:pPr>
      <w:r>
        <w:rPr>
          <w:rStyle w:val="FootnoteReference"/>
        </w:rPr>
        <w:footnoteRef/>
      </w:r>
      <w:r>
        <w:t xml:space="preserve">  </w:t>
      </w:r>
      <w:r>
        <w:rPr>
          <w:i/>
          <w:iCs/>
        </w:rPr>
        <w:t>Supra</w:t>
      </w:r>
      <w:r>
        <w:t xml:space="preserve"> notes 8, 9, and 10. </w:t>
      </w:r>
    </w:p>
  </w:footnote>
  <w:footnote w:id="73">
    <w:p w14:paraId="10606832" w14:textId="5B81427D" w:rsidR="006A6295" w:rsidRDefault="006A6295" w:rsidP="000F7DAF">
      <w:pPr>
        <w:pStyle w:val="FootnoteText"/>
        <w:spacing w:line="240" w:lineRule="auto"/>
      </w:pPr>
      <w:r>
        <w:rPr>
          <w:rStyle w:val="FootnoteReference"/>
        </w:rPr>
        <w:footnoteRef/>
      </w:r>
      <w:r>
        <w:t xml:space="preserve">  PFD at 25. </w:t>
      </w:r>
    </w:p>
  </w:footnote>
  <w:footnote w:id="74">
    <w:p w14:paraId="3A480E27" w14:textId="03AC087B" w:rsidR="00AE4AB5" w:rsidRDefault="00AE4AB5" w:rsidP="000F7DAF">
      <w:pPr>
        <w:pStyle w:val="FootnoteText"/>
        <w:spacing w:line="240" w:lineRule="auto"/>
      </w:pPr>
      <w:r>
        <w:rPr>
          <w:rStyle w:val="FootnoteReference"/>
        </w:rPr>
        <w:footnoteRef/>
      </w:r>
      <w:r>
        <w:t xml:space="preserve">  </w:t>
      </w:r>
      <w:r>
        <w:rPr>
          <w:i/>
          <w:iCs/>
        </w:rPr>
        <w:t>Id</w:t>
      </w:r>
      <w:r>
        <w:t xml:space="preserve">. at 29. </w:t>
      </w:r>
    </w:p>
  </w:footnote>
  <w:footnote w:id="75">
    <w:p w14:paraId="6BD86511" w14:textId="747DD62D" w:rsidR="00D14FBB" w:rsidRDefault="00D14FBB" w:rsidP="000F7DAF">
      <w:pPr>
        <w:pStyle w:val="FootnoteText"/>
        <w:spacing w:line="240" w:lineRule="auto"/>
      </w:pPr>
      <w:r>
        <w:rPr>
          <w:rStyle w:val="FootnoteReference"/>
        </w:rPr>
        <w:footnoteRef/>
      </w:r>
      <w:r>
        <w:t xml:space="preserve">  </w:t>
      </w:r>
      <w:r>
        <w:rPr>
          <w:i/>
          <w:iCs/>
        </w:rPr>
        <w:t>Id</w:t>
      </w:r>
      <w:r>
        <w:t xml:space="preserve">. </w:t>
      </w:r>
    </w:p>
  </w:footnote>
  <w:footnote w:id="76">
    <w:p w14:paraId="25DF6C02" w14:textId="262C60F9" w:rsidR="000C5E9D" w:rsidRDefault="000C5E9D" w:rsidP="000F7DAF">
      <w:pPr>
        <w:pStyle w:val="FootnoteText"/>
        <w:spacing w:line="240" w:lineRule="auto"/>
      </w:pPr>
      <w:r>
        <w:rPr>
          <w:rStyle w:val="FootnoteReference"/>
        </w:rPr>
        <w:footnoteRef/>
      </w:r>
      <w:r>
        <w:t xml:space="preserve">  Staff’s Initial Brief at 19. </w:t>
      </w:r>
    </w:p>
  </w:footnote>
  <w:footnote w:id="77">
    <w:p w14:paraId="44E44B22" w14:textId="7F18F0C3" w:rsidR="00F136BF" w:rsidRDefault="00F136BF" w:rsidP="000F7DAF">
      <w:pPr>
        <w:pStyle w:val="FootnoteText"/>
        <w:spacing w:line="240" w:lineRule="auto"/>
      </w:pPr>
      <w:r>
        <w:rPr>
          <w:rStyle w:val="FootnoteReference"/>
        </w:rPr>
        <w:footnoteRef/>
      </w:r>
      <w:r>
        <w:t xml:space="preserve">  PFD at 31. </w:t>
      </w:r>
    </w:p>
  </w:footnote>
  <w:footnote w:id="78">
    <w:p w14:paraId="27957162" w14:textId="4C8A24E2" w:rsidR="009054B9" w:rsidRDefault="009054B9" w:rsidP="000F7DAF">
      <w:pPr>
        <w:pStyle w:val="FootnoteText"/>
        <w:spacing w:line="240" w:lineRule="auto"/>
      </w:pPr>
      <w:r>
        <w:rPr>
          <w:rStyle w:val="FootnoteReference"/>
        </w:rPr>
        <w:footnoteRef/>
      </w:r>
      <w:r>
        <w:t xml:space="preserve">  Staff’s Reply Brief at 9. </w:t>
      </w:r>
    </w:p>
  </w:footnote>
  <w:footnote w:id="79">
    <w:p w14:paraId="66639FBF" w14:textId="0FF954AC" w:rsidR="009054B9" w:rsidRDefault="009054B9" w:rsidP="000F7DAF">
      <w:pPr>
        <w:pStyle w:val="FootnoteText"/>
        <w:spacing w:line="240" w:lineRule="auto"/>
      </w:pPr>
      <w:r>
        <w:rPr>
          <w:rStyle w:val="FootnoteReference"/>
        </w:rPr>
        <w:footnoteRef/>
      </w:r>
      <w:r>
        <w:t xml:space="preserve">  </w:t>
      </w:r>
      <w:r>
        <w:rPr>
          <w:i/>
          <w:iCs/>
        </w:rPr>
        <w:t>Id</w:t>
      </w:r>
      <w:r>
        <w:t xml:space="preserve">. </w:t>
      </w:r>
    </w:p>
  </w:footnote>
  <w:footnote w:id="80">
    <w:p w14:paraId="76420B0C" w14:textId="189317BA" w:rsidR="009054B9" w:rsidRDefault="009054B9" w:rsidP="000F7DAF">
      <w:pPr>
        <w:pStyle w:val="FootnoteText"/>
        <w:spacing w:line="240" w:lineRule="auto"/>
      </w:pPr>
      <w:r>
        <w:rPr>
          <w:rStyle w:val="FootnoteReference"/>
        </w:rPr>
        <w:footnoteRef/>
      </w:r>
      <w:r>
        <w:t xml:space="preserve">  </w:t>
      </w:r>
      <w:r>
        <w:rPr>
          <w:i/>
        </w:rPr>
        <w:t>Id</w:t>
      </w:r>
      <w:r>
        <w:rPr>
          <w:iCs/>
        </w:rPr>
        <w:t xml:space="preserve">. </w:t>
      </w:r>
      <w:r>
        <w:t xml:space="preserve"> </w:t>
      </w:r>
    </w:p>
  </w:footnote>
  <w:footnote w:id="81">
    <w:p w14:paraId="27CE2759" w14:textId="351B95DC" w:rsidR="009054B9" w:rsidRDefault="009054B9" w:rsidP="000F7DAF">
      <w:pPr>
        <w:pStyle w:val="FootnoteText"/>
        <w:spacing w:line="240" w:lineRule="auto"/>
      </w:pPr>
      <w:r>
        <w:rPr>
          <w:rStyle w:val="FootnoteReference"/>
        </w:rPr>
        <w:footnoteRef/>
      </w:r>
      <w:r>
        <w:t xml:space="preserve">  </w:t>
      </w:r>
      <w:r>
        <w:rPr>
          <w:i/>
          <w:iCs/>
        </w:rPr>
        <w:t>Id</w:t>
      </w:r>
      <w:r>
        <w:t xml:space="preserve">. (citing to OPUC’s Post-Hearing Initial Brief at 19). </w:t>
      </w:r>
    </w:p>
  </w:footnote>
  <w:footnote w:id="82">
    <w:p w14:paraId="57E30D0B" w14:textId="106E6FAC" w:rsidR="009054B9" w:rsidRDefault="009054B9" w:rsidP="000F7DAF">
      <w:pPr>
        <w:pStyle w:val="FootnoteText"/>
        <w:spacing w:line="240" w:lineRule="auto"/>
      </w:pPr>
      <w:r>
        <w:rPr>
          <w:rStyle w:val="FootnoteReference"/>
        </w:rPr>
        <w:footnoteRef/>
      </w:r>
      <w:r>
        <w:t xml:space="preserve">  </w:t>
      </w:r>
      <w:r>
        <w:rPr>
          <w:i/>
          <w:iCs/>
        </w:rPr>
        <w:t>Id</w:t>
      </w:r>
      <w:r>
        <w:t xml:space="preserve">. </w:t>
      </w:r>
    </w:p>
  </w:footnote>
  <w:footnote w:id="83">
    <w:p w14:paraId="7B583628" w14:textId="335ED2E2" w:rsidR="009054B9" w:rsidRDefault="009054B9" w:rsidP="000F7DAF">
      <w:pPr>
        <w:pStyle w:val="FootnoteText"/>
        <w:spacing w:line="240" w:lineRule="auto"/>
      </w:pPr>
      <w:r>
        <w:rPr>
          <w:rStyle w:val="FootnoteReference"/>
        </w:rPr>
        <w:footnoteRef/>
      </w:r>
      <w:r>
        <w:t xml:space="preserve">  </w:t>
      </w:r>
      <w:r>
        <w:rPr>
          <w:i/>
          <w:iCs/>
        </w:rPr>
        <w:t>Id</w:t>
      </w:r>
      <w:r>
        <w:t xml:space="preserve">.  </w:t>
      </w:r>
    </w:p>
  </w:footnote>
  <w:footnote w:id="84">
    <w:p w14:paraId="61815ECC" w14:textId="38B6E924" w:rsidR="009054B9" w:rsidRDefault="009054B9" w:rsidP="000F7DAF">
      <w:pPr>
        <w:pStyle w:val="FootnoteText"/>
        <w:spacing w:line="240" w:lineRule="auto"/>
      </w:pPr>
      <w:r>
        <w:rPr>
          <w:rStyle w:val="FootnoteReference"/>
        </w:rPr>
        <w:footnoteRef/>
      </w:r>
      <w:r>
        <w:t xml:space="preserve">  Staff’s Initial Brief at 19-20. </w:t>
      </w:r>
    </w:p>
  </w:footnote>
  <w:footnote w:id="85">
    <w:p w14:paraId="74EE940F" w14:textId="6DC6949C" w:rsidR="007B19D3" w:rsidRDefault="007B19D3" w:rsidP="006C634C">
      <w:pPr>
        <w:pStyle w:val="FootnoteText"/>
        <w:spacing w:line="240" w:lineRule="auto"/>
      </w:pPr>
      <w:r>
        <w:rPr>
          <w:rStyle w:val="FootnoteReference"/>
        </w:rPr>
        <w:footnoteRef/>
      </w:r>
      <w:r>
        <w:t xml:space="preserve">  </w:t>
      </w:r>
      <w:r>
        <w:rPr>
          <w:i/>
          <w:iCs/>
        </w:rPr>
        <w:t>Id</w:t>
      </w:r>
      <w:r>
        <w:t xml:space="preserve">. at 20. </w:t>
      </w:r>
    </w:p>
  </w:footnote>
  <w:footnote w:id="86">
    <w:p w14:paraId="7028A71D" w14:textId="208BF493" w:rsidR="00680742" w:rsidRDefault="00680742" w:rsidP="000F7DAF">
      <w:pPr>
        <w:pStyle w:val="FootnoteText"/>
        <w:spacing w:line="240" w:lineRule="auto"/>
      </w:pPr>
      <w:r>
        <w:rPr>
          <w:rStyle w:val="FootnoteReference"/>
        </w:rPr>
        <w:footnoteRef/>
      </w:r>
      <w:r>
        <w:t xml:space="preserve">  </w:t>
      </w:r>
      <w:r>
        <w:rPr>
          <w:i/>
          <w:iCs/>
        </w:rPr>
        <w:t>Id</w:t>
      </w:r>
      <w:r>
        <w:t>.</w:t>
      </w:r>
    </w:p>
  </w:footnote>
  <w:footnote w:id="87">
    <w:p w14:paraId="629FF799" w14:textId="77777777" w:rsidR="00680742" w:rsidRDefault="00680742" w:rsidP="000F7DAF">
      <w:pPr>
        <w:pStyle w:val="FootnoteText"/>
        <w:spacing w:line="240" w:lineRule="auto"/>
      </w:pPr>
      <w:r>
        <w:rPr>
          <w:rStyle w:val="FootnoteReference"/>
        </w:rPr>
        <w:footnoteRef/>
      </w:r>
      <w:r>
        <w:t xml:space="preserve">  </w:t>
      </w:r>
      <w:r w:rsidRPr="00697A2F">
        <w:rPr>
          <w:i/>
          <w:iCs/>
        </w:rPr>
        <w:t>Id.</w:t>
      </w:r>
    </w:p>
  </w:footnote>
  <w:footnote w:id="88">
    <w:p w14:paraId="2DEA905C" w14:textId="77777777" w:rsidR="00680742" w:rsidRDefault="00680742" w:rsidP="000F7DAF">
      <w:pPr>
        <w:pStyle w:val="FootnoteText"/>
        <w:spacing w:line="240" w:lineRule="auto"/>
      </w:pPr>
      <w:r>
        <w:rPr>
          <w:rStyle w:val="FootnoteReference"/>
        </w:rPr>
        <w:footnoteRef/>
      </w:r>
      <w:r>
        <w:t xml:space="preserve">  </w:t>
      </w:r>
      <w:r>
        <w:rPr>
          <w:i/>
          <w:iCs/>
        </w:rPr>
        <w:t>Id</w:t>
      </w:r>
      <w:r>
        <w:t>. at 10.</w:t>
      </w:r>
    </w:p>
  </w:footnote>
  <w:footnote w:id="89">
    <w:p w14:paraId="1AB0E2DB" w14:textId="77777777" w:rsidR="00680742" w:rsidRDefault="00680742" w:rsidP="000F7DAF">
      <w:pPr>
        <w:pStyle w:val="FootnoteText"/>
        <w:spacing w:line="240" w:lineRule="auto"/>
      </w:pPr>
      <w:r>
        <w:rPr>
          <w:rStyle w:val="FootnoteReference"/>
        </w:rPr>
        <w:footnoteRef/>
      </w:r>
      <w:r>
        <w:t xml:space="preserve">  PFD at 31.</w:t>
      </w:r>
    </w:p>
  </w:footnote>
  <w:footnote w:id="90">
    <w:p w14:paraId="0EFB9F56" w14:textId="77777777" w:rsidR="00680742" w:rsidRDefault="00680742" w:rsidP="000F7DAF">
      <w:pPr>
        <w:pStyle w:val="FootnoteText"/>
        <w:spacing w:line="240" w:lineRule="auto"/>
      </w:pPr>
      <w:r>
        <w:rPr>
          <w:rStyle w:val="FootnoteReference"/>
        </w:rPr>
        <w:footnoteRef/>
      </w:r>
      <w:r>
        <w:t xml:space="preserve">  </w:t>
      </w:r>
      <w:r w:rsidRPr="008C2C9E">
        <w:t>Staff’s Initial Brief at 10.</w:t>
      </w:r>
    </w:p>
  </w:footnote>
  <w:footnote w:id="91">
    <w:p w14:paraId="661C6D6C" w14:textId="77777777" w:rsidR="00680742" w:rsidRDefault="00680742" w:rsidP="000F7DAF">
      <w:pPr>
        <w:pStyle w:val="FootnoteText"/>
        <w:spacing w:line="240" w:lineRule="auto"/>
      </w:pPr>
      <w:r>
        <w:rPr>
          <w:rStyle w:val="FootnoteReference"/>
        </w:rPr>
        <w:footnoteRef/>
      </w:r>
      <w:r>
        <w:t xml:space="preserve">  </w:t>
      </w:r>
      <w:r w:rsidRPr="00697A2F">
        <w:rPr>
          <w:i/>
          <w:iCs/>
        </w:rPr>
        <w:t>Id.</w:t>
      </w:r>
    </w:p>
  </w:footnote>
  <w:footnote w:id="92">
    <w:p w14:paraId="26A8B292" w14:textId="48013F39" w:rsidR="00F30C15" w:rsidRDefault="00F30C15" w:rsidP="000F7DAF">
      <w:pPr>
        <w:pStyle w:val="FootnoteText"/>
        <w:spacing w:line="240" w:lineRule="auto"/>
      </w:pPr>
      <w:r>
        <w:rPr>
          <w:rStyle w:val="FootnoteReference"/>
        </w:rPr>
        <w:footnoteRef/>
      </w:r>
      <w:r>
        <w:t xml:space="preserve">  PFD at 33. </w:t>
      </w:r>
    </w:p>
  </w:footnote>
  <w:footnote w:id="93">
    <w:p w14:paraId="4A162B3C" w14:textId="5F400AB9" w:rsidR="00F30C15" w:rsidRDefault="00F30C15" w:rsidP="006C634C">
      <w:pPr>
        <w:pStyle w:val="FootnoteText"/>
        <w:spacing w:line="240" w:lineRule="auto"/>
      </w:pPr>
      <w:r>
        <w:rPr>
          <w:rStyle w:val="FootnoteReference"/>
        </w:rPr>
        <w:footnoteRef/>
      </w:r>
      <w:r>
        <w:t xml:space="preserve">  Staff’s Initial Brief at 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51C40"/>
    <w:multiLevelType w:val="hybridMultilevel"/>
    <w:tmpl w:val="647A2252"/>
    <w:lvl w:ilvl="0" w:tplc="29D427E2">
      <w:start w:val="1"/>
      <w:numFmt w:val="upperLetter"/>
      <w:pStyle w:val="BriefHeading2"/>
      <w:lvlText w:val="%1."/>
      <w:lvlJc w:val="left"/>
      <w:pPr>
        <w:ind w:left="1800" w:hanging="360"/>
      </w:pPr>
      <w:rPr>
        <w:rFonts w:ascii="Times New Roman" w:hAnsi="Times New Roman" w:cs="Times New Roman" w:hint="default"/>
        <w:b/>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B47BA6"/>
    <w:multiLevelType w:val="hybridMultilevel"/>
    <w:tmpl w:val="18B654AC"/>
    <w:lvl w:ilvl="0" w:tplc="6B0075FC">
      <w:start w:val="1"/>
      <w:numFmt w:val="upperLetter"/>
      <w:lvlText w:val="%1."/>
      <w:lvlJc w:val="left"/>
      <w:pPr>
        <w:ind w:left="720" w:hanging="360"/>
      </w:pPr>
      <w:rPr>
        <w:rFonts w:ascii="Times New Roman" w:eastAsiaTheme="minorHAnsi" w:hAnsi="Times New Roman" w:cstheme="minorBidi" w:hint="default"/>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556EAA"/>
    <w:multiLevelType w:val="hybridMultilevel"/>
    <w:tmpl w:val="C36EE980"/>
    <w:lvl w:ilvl="0" w:tplc="0409000F">
      <w:start w:val="1"/>
      <w:numFmt w:val="decimal"/>
      <w:pStyle w:val="Heading2"/>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620A28"/>
    <w:multiLevelType w:val="hybridMultilevel"/>
    <w:tmpl w:val="C36EE980"/>
    <w:lvl w:ilvl="0" w:tplc="FFFFFFFF">
      <w:start w:val="1"/>
      <w:numFmt w:val="decimal"/>
      <w:lvlText w:val="%1."/>
      <w:lvlJc w:val="left"/>
      <w:pPr>
        <w:ind w:left="1080" w:hanging="360"/>
      </w:pPr>
    </w:lvl>
    <w:lvl w:ilvl="1" w:tplc="FFFFFFFF">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AC5048F"/>
    <w:multiLevelType w:val="hybridMultilevel"/>
    <w:tmpl w:val="2A8EEA16"/>
    <w:lvl w:ilvl="0" w:tplc="8536C9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B47676"/>
    <w:multiLevelType w:val="hybridMultilevel"/>
    <w:tmpl w:val="C36EE980"/>
    <w:lvl w:ilvl="0" w:tplc="FFFFFFFF">
      <w:start w:val="1"/>
      <w:numFmt w:val="decimal"/>
      <w:lvlText w:val="%1."/>
      <w:lvlJc w:val="left"/>
      <w:pPr>
        <w:ind w:left="1080" w:hanging="360"/>
      </w:pPr>
    </w:lvl>
    <w:lvl w:ilvl="1" w:tplc="FFFFFFFF">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32906354">
    <w:abstractNumId w:val="0"/>
  </w:num>
  <w:num w:numId="2" w16cid:durableId="730349181">
    <w:abstractNumId w:val="4"/>
  </w:num>
  <w:num w:numId="3" w16cid:durableId="1254124087">
    <w:abstractNumId w:val="2"/>
  </w:num>
  <w:num w:numId="4" w16cid:durableId="1604723478">
    <w:abstractNumId w:val="5"/>
  </w:num>
  <w:num w:numId="5" w16cid:durableId="1219780050">
    <w:abstractNumId w:val="3"/>
  </w:num>
  <w:num w:numId="6" w16cid:durableId="170166508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071"/>
    <w:rsid w:val="00005A60"/>
    <w:rsid w:val="00006869"/>
    <w:rsid w:val="0000724C"/>
    <w:rsid w:val="00010A53"/>
    <w:rsid w:val="00012779"/>
    <w:rsid w:val="00012BC9"/>
    <w:rsid w:val="000134BB"/>
    <w:rsid w:val="0001507D"/>
    <w:rsid w:val="00015160"/>
    <w:rsid w:val="00015C32"/>
    <w:rsid w:val="00015DA4"/>
    <w:rsid w:val="0002050F"/>
    <w:rsid w:val="00021998"/>
    <w:rsid w:val="000223BD"/>
    <w:rsid w:val="000233F8"/>
    <w:rsid w:val="00023A9A"/>
    <w:rsid w:val="00023DD6"/>
    <w:rsid w:val="00024C2C"/>
    <w:rsid w:val="00025CE5"/>
    <w:rsid w:val="00027FCF"/>
    <w:rsid w:val="000307C2"/>
    <w:rsid w:val="00033D4A"/>
    <w:rsid w:val="000342A1"/>
    <w:rsid w:val="00034832"/>
    <w:rsid w:val="00034EC6"/>
    <w:rsid w:val="000357D5"/>
    <w:rsid w:val="00035901"/>
    <w:rsid w:val="00036ADB"/>
    <w:rsid w:val="0003743F"/>
    <w:rsid w:val="00040523"/>
    <w:rsid w:val="00040571"/>
    <w:rsid w:val="000406AF"/>
    <w:rsid w:val="00040C8F"/>
    <w:rsid w:val="00041D62"/>
    <w:rsid w:val="00042E60"/>
    <w:rsid w:val="00044539"/>
    <w:rsid w:val="00046C6F"/>
    <w:rsid w:val="000473E0"/>
    <w:rsid w:val="00050E4C"/>
    <w:rsid w:val="00050EC3"/>
    <w:rsid w:val="00051412"/>
    <w:rsid w:val="00052C72"/>
    <w:rsid w:val="00055B9A"/>
    <w:rsid w:val="00056537"/>
    <w:rsid w:val="00056A61"/>
    <w:rsid w:val="00061134"/>
    <w:rsid w:val="000612C6"/>
    <w:rsid w:val="000621BB"/>
    <w:rsid w:val="000642C6"/>
    <w:rsid w:val="00064490"/>
    <w:rsid w:val="00064EA5"/>
    <w:rsid w:val="000669E3"/>
    <w:rsid w:val="00070FBB"/>
    <w:rsid w:val="0007166D"/>
    <w:rsid w:val="00071BFA"/>
    <w:rsid w:val="00072FE5"/>
    <w:rsid w:val="000767DB"/>
    <w:rsid w:val="00077FB7"/>
    <w:rsid w:val="00081B8D"/>
    <w:rsid w:val="00082BE1"/>
    <w:rsid w:val="000857EC"/>
    <w:rsid w:val="0008650E"/>
    <w:rsid w:val="00086986"/>
    <w:rsid w:val="00087E4A"/>
    <w:rsid w:val="00092B02"/>
    <w:rsid w:val="000934AA"/>
    <w:rsid w:val="0009361B"/>
    <w:rsid w:val="00093FC2"/>
    <w:rsid w:val="0009426E"/>
    <w:rsid w:val="00094D50"/>
    <w:rsid w:val="00094D6D"/>
    <w:rsid w:val="000952D5"/>
    <w:rsid w:val="0009679D"/>
    <w:rsid w:val="000977DD"/>
    <w:rsid w:val="00097E25"/>
    <w:rsid w:val="000A5159"/>
    <w:rsid w:val="000A7B9D"/>
    <w:rsid w:val="000B10C9"/>
    <w:rsid w:val="000B163B"/>
    <w:rsid w:val="000B1812"/>
    <w:rsid w:val="000B28EB"/>
    <w:rsid w:val="000B4E08"/>
    <w:rsid w:val="000B5606"/>
    <w:rsid w:val="000B5F1B"/>
    <w:rsid w:val="000B7F93"/>
    <w:rsid w:val="000C1AC1"/>
    <w:rsid w:val="000C4031"/>
    <w:rsid w:val="000C5E9D"/>
    <w:rsid w:val="000C5F32"/>
    <w:rsid w:val="000C6AF9"/>
    <w:rsid w:val="000D3CDD"/>
    <w:rsid w:val="000D5C9F"/>
    <w:rsid w:val="000D5CD0"/>
    <w:rsid w:val="000D5F63"/>
    <w:rsid w:val="000D6C6A"/>
    <w:rsid w:val="000E1132"/>
    <w:rsid w:val="000E26FE"/>
    <w:rsid w:val="000E31F7"/>
    <w:rsid w:val="000E3C06"/>
    <w:rsid w:val="000E3CF5"/>
    <w:rsid w:val="000E68D8"/>
    <w:rsid w:val="000E6961"/>
    <w:rsid w:val="000F1490"/>
    <w:rsid w:val="000F14F0"/>
    <w:rsid w:val="000F1B5D"/>
    <w:rsid w:val="000F1F40"/>
    <w:rsid w:val="000F230C"/>
    <w:rsid w:val="000F540D"/>
    <w:rsid w:val="000F6B99"/>
    <w:rsid w:val="000F6BEB"/>
    <w:rsid w:val="000F7410"/>
    <w:rsid w:val="000F7DAF"/>
    <w:rsid w:val="000F7F9C"/>
    <w:rsid w:val="00101E9A"/>
    <w:rsid w:val="00104BD4"/>
    <w:rsid w:val="00107AB3"/>
    <w:rsid w:val="001124BE"/>
    <w:rsid w:val="00116944"/>
    <w:rsid w:val="001171A2"/>
    <w:rsid w:val="00117DA3"/>
    <w:rsid w:val="00120446"/>
    <w:rsid w:val="00121212"/>
    <w:rsid w:val="0012129F"/>
    <w:rsid w:val="00122C66"/>
    <w:rsid w:val="00127224"/>
    <w:rsid w:val="00127A60"/>
    <w:rsid w:val="00127C7B"/>
    <w:rsid w:val="00132752"/>
    <w:rsid w:val="00132937"/>
    <w:rsid w:val="00132C88"/>
    <w:rsid w:val="001347B7"/>
    <w:rsid w:val="001361A6"/>
    <w:rsid w:val="00136FAB"/>
    <w:rsid w:val="001370E3"/>
    <w:rsid w:val="00140FCF"/>
    <w:rsid w:val="00142701"/>
    <w:rsid w:val="00143BAC"/>
    <w:rsid w:val="00143DBB"/>
    <w:rsid w:val="00144907"/>
    <w:rsid w:val="0014560C"/>
    <w:rsid w:val="00146C17"/>
    <w:rsid w:val="00147053"/>
    <w:rsid w:val="00151409"/>
    <w:rsid w:val="00151B22"/>
    <w:rsid w:val="00151BC4"/>
    <w:rsid w:val="001528E1"/>
    <w:rsid w:val="00152BF1"/>
    <w:rsid w:val="00152E43"/>
    <w:rsid w:val="0015425F"/>
    <w:rsid w:val="00154F35"/>
    <w:rsid w:val="00155455"/>
    <w:rsid w:val="001575B0"/>
    <w:rsid w:val="00160B90"/>
    <w:rsid w:val="00162210"/>
    <w:rsid w:val="001643EB"/>
    <w:rsid w:val="00166EF5"/>
    <w:rsid w:val="0016707F"/>
    <w:rsid w:val="00167865"/>
    <w:rsid w:val="00167B9A"/>
    <w:rsid w:val="00170699"/>
    <w:rsid w:val="00170C23"/>
    <w:rsid w:val="00170CA0"/>
    <w:rsid w:val="001711C0"/>
    <w:rsid w:val="0017204A"/>
    <w:rsid w:val="00172793"/>
    <w:rsid w:val="00173B58"/>
    <w:rsid w:val="00176D68"/>
    <w:rsid w:val="0018010F"/>
    <w:rsid w:val="00182846"/>
    <w:rsid w:val="001854E7"/>
    <w:rsid w:val="001854E9"/>
    <w:rsid w:val="00185613"/>
    <w:rsid w:val="0019034D"/>
    <w:rsid w:val="001909E9"/>
    <w:rsid w:val="0019111C"/>
    <w:rsid w:val="0019257C"/>
    <w:rsid w:val="00193C3F"/>
    <w:rsid w:val="001944C5"/>
    <w:rsid w:val="00196A28"/>
    <w:rsid w:val="00197531"/>
    <w:rsid w:val="001A2AB5"/>
    <w:rsid w:val="001A2D16"/>
    <w:rsid w:val="001A3F77"/>
    <w:rsid w:val="001A7DBE"/>
    <w:rsid w:val="001B0D9A"/>
    <w:rsid w:val="001B322F"/>
    <w:rsid w:val="001B5377"/>
    <w:rsid w:val="001B6BB9"/>
    <w:rsid w:val="001B73D5"/>
    <w:rsid w:val="001C0EBF"/>
    <w:rsid w:val="001C25B7"/>
    <w:rsid w:val="001C28A6"/>
    <w:rsid w:val="001C38BF"/>
    <w:rsid w:val="001C3BDA"/>
    <w:rsid w:val="001C5D4D"/>
    <w:rsid w:val="001C60AB"/>
    <w:rsid w:val="001D0EFA"/>
    <w:rsid w:val="001E0547"/>
    <w:rsid w:val="001E13F7"/>
    <w:rsid w:val="001E1E75"/>
    <w:rsid w:val="001E36FD"/>
    <w:rsid w:val="001E55D1"/>
    <w:rsid w:val="001E6294"/>
    <w:rsid w:val="001F1F02"/>
    <w:rsid w:val="001F4650"/>
    <w:rsid w:val="001F5FDD"/>
    <w:rsid w:val="001F7A59"/>
    <w:rsid w:val="00200BBF"/>
    <w:rsid w:val="00201516"/>
    <w:rsid w:val="0020243D"/>
    <w:rsid w:val="00202971"/>
    <w:rsid w:val="00202CE2"/>
    <w:rsid w:val="00202E09"/>
    <w:rsid w:val="0020339A"/>
    <w:rsid w:val="002046DB"/>
    <w:rsid w:val="0020473E"/>
    <w:rsid w:val="00204CD8"/>
    <w:rsid w:val="00205BEE"/>
    <w:rsid w:val="00205C60"/>
    <w:rsid w:val="00206157"/>
    <w:rsid w:val="00211E68"/>
    <w:rsid w:val="00213123"/>
    <w:rsid w:val="00214CCB"/>
    <w:rsid w:val="00215660"/>
    <w:rsid w:val="0021567A"/>
    <w:rsid w:val="00217731"/>
    <w:rsid w:val="00217977"/>
    <w:rsid w:val="00217E84"/>
    <w:rsid w:val="0022173D"/>
    <w:rsid w:val="00223B74"/>
    <w:rsid w:val="00223B84"/>
    <w:rsid w:val="00224148"/>
    <w:rsid w:val="002241EF"/>
    <w:rsid w:val="00226B48"/>
    <w:rsid w:val="00226C69"/>
    <w:rsid w:val="00227044"/>
    <w:rsid w:val="00227EEE"/>
    <w:rsid w:val="00230417"/>
    <w:rsid w:val="0023091D"/>
    <w:rsid w:val="002329B6"/>
    <w:rsid w:val="00233154"/>
    <w:rsid w:val="002333C6"/>
    <w:rsid w:val="002368F4"/>
    <w:rsid w:val="0024273F"/>
    <w:rsid w:val="002436E3"/>
    <w:rsid w:val="0024377E"/>
    <w:rsid w:val="00245131"/>
    <w:rsid w:val="00246081"/>
    <w:rsid w:val="0024672D"/>
    <w:rsid w:val="00247F89"/>
    <w:rsid w:val="0025034F"/>
    <w:rsid w:val="0025178B"/>
    <w:rsid w:val="002519CE"/>
    <w:rsid w:val="0025232B"/>
    <w:rsid w:val="00253E9D"/>
    <w:rsid w:val="00253FE6"/>
    <w:rsid w:val="0025700B"/>
    <w:rsid w:val="002600FC"/>
    <w:rsid w:val="00261AFE"/>
    <w:rsid w:val="002637F2"/>
    <w:rsid w:val="00263E22"/>
    <w:rsid w:val="00265653"/>
    <w:rsid w:val="002667B9"/>
    <w:rsid w:val="0026710E"/>
    <w:rsid w:val="002678B1"/>
    <w:rsid w:val="00267906"/>
    <w:rsid w:val="00270C7B"/>
    <w:rsid w:val="00271524"/>
    <w:rsid w:val="00272208"/>
    <w:rsid w:val="00273485"/>
    <w:rsid w:val="00273DB6"/>
    <w:rsid w:val="002779AF"/>
    <w:rsid w:val="00281561"/>
    <w:rsid w:val="00282897"/>
    <w:rsid w:val="00283F39"/>
    <w:rsid w:val="00284194"/>
    <w:rsid w:val="00285A49"/>
    <w:rsid w:val="00286D26"/>
    <w:rsid w:val="00287CAA"/>
    <w:rsid w:val="0029005F"/>
    <w:rsid w:val="00292E77"/>
    <w:rsid w:val="002936C6"/>
    <w:rsid w:val="00293E66"/>
    <w:rsid w:val="00293F17"/>
    <w:rsid w:val="0029452B"/>
    <w:rsid w:val="002959FD"/>
    <w:rsid w:val="002964D5"/>
    <w:rsid w:val="00296910"/>
    <w:rsid w:val="00296BA8"/>
    <w:rsid w:val="002A1898"/>
    <w:rsid w:val="002A1A50"/>
    <w:rsid w:val="002A25CB"/>
    <w:rsid w:val="002A4485"/>
    <w:rsid w:val="002A4C69"/>
    <w:rsid w:val="002A638C"/>
    <w:rsid w:val="002A6861"/>
    <w:rsid w:val="002A6D54"/>
    <w:rsid w:val="002B2BEF"/>
    <w:rsid w:val="002B3E30"/>
    <w:rsid w:val="002C263C"/>
    <w:rsid w:val="002C2C7E"/>
    <w:rsid w:val="002C4C90"/>
    <w:rsid w:val="002C4C99"/>
    <w:rsid w:val="002C5119"/>
    <w:rsid w:val="002C5D86"/>
    <w:rsid w:val="002D0AA7"/>
    <w:rsid w:val="002D170C"/>
    <w:rsid w:val="002D1FC9"/>
    <w:rsid w:val="002D3A76"/>
    <w:rsid w:val="002D47AF"/>
    <w:rsid w:val="002D481E"/>
    <w:rsid w:val="002D543A"/>
    <w:rsid w:val="002D58D1"/>
    <w:rsid w:val="002D5DC9"/>
    <w:rsid w:val="002D6CD5"/>
    <w:rsid w:val="002D74BB"/>
    <w:rsid w:val="002E00C4"/>
    <w:rsid w:val="002E0C4A"/>
    <w:rsid w:val="002E3A30"/>
    <w:rsid w:val="002E45FE"/>
    <w:rsid w:val="002E552D"/>
    <w:rsid w:val="002E749D"/>
    <w:rsid w:val="002E7848"/>
    <w:rsid w:val="002E7BBB"/>
    <w:rsid w:val="002F08B6"/>
    <w:rsid w:val="002F3733"/>
    <w:rsid w:val="002F479D"/>
    <w:rsid w:val="002F699D"/>
    <w:rsid w:val="00300BF0"/>
    <w:rsid w:val="00301BBC"/>
    <w:rsid w:val="00301DB2"/>
    <w:rsid w:val="003021A2"/>
    <w:rsid w:val="003033F1"/>
    <w:rsid w:val="00303A45"/>
    <w:rsid w:val="00303B80"/>
    <w:rsid w:val="003050DF"/>
    <w:rsid w:val="00305298"/>
    <w:rsid w:val="00306311"/>
    <w:rsid w:val="003100F1"/>
    <w:rsid w:val="00313356"/>
    <w:rsid w:val="00313F66"/>
    <w:rsid w:val="00314966"/>
    <w:rsid w:val="00314E0B"/>
    <w:rsid w:val="00317256"/>
    <w:rsid w:val="00317B16"/>
    <w:rsid w:val="00320144"/>
    <w:rsid w:val="0032054D"/>
    <w:rsid w:val="00320B60"/>
    <w:rsid w:val="00321252"/>
    <w:rsid w:val="00321C9B"/>
    <w:rsid w:val="00322D68"/>
    <w:rsid w:val="003236D0"/>
    <w:rsid w:val="00324171"/>
    <w:rsid w:val="00326034"/>
    <w:rsid w:val="00327490"/>
    <w:rsid w:val="00330CED"/>
    <w:rsid w:val="00331600"/>
    <w:rsid w:val="00331DAA"/>
    <w:rsid w:val="00332458"/>
    <w:rsid w:val="00332756"/>
    <w:rsid w:val="00332B05"/>
    <w:rsid w:val="00333751"/>
    <w:rsid w:val="00333C10"/>
    <w:rsid w:val="003346A4"/>
    <w:rsid w:val="00335569"/>
    <w:rsid w:val="00336237"/>
    <w:rsid w:val="003362F1"/>
    <w:rsid w:val="00336ACF"/>
    <w:rsid w:val="0034034A"/>
    <w:rsid w:val="00340C97"/>
    <w:rsid w:val="00341619"/>
    <w:rsid w:val="00341854"/>
    <w:rsid w:val="0034230A"/>
    <w:rsid w:val="00342D11"/>
    <w:rsid w:val="003455B0"/>
    <w:rsid w:val="00345C4C"/>
    <w:rsid w:val="003502A2"/>
    <w:rsid w:val="00351EC7"/>
    <w:rsid w:val="00352627"/>
    <w:rsid w:val="003533BE"/>
    <w:rsid w:val="003560C2"/>
    <w:rsid w:val="0035759F"/>
    <w:rsid w:val="00357BD5"/>
    <w:rsid w:val="00357C92"/>
    <w:rsid w:val="003602F6"/>
    <w:rsid w:val="00360A0C"/>
    <w:rsid w:val="00361406"/>
    <w:rsid w:val="00364DE0"/>
    <w:rsid w:val="00364EB2"/>
    <w:rsid w:val="0036668D"/>
    <w:rsid w:val="00372255"/>
    <w:rsid w:val="003739E9"/>
    <w:rsid w:val="00373A55"/>
    <w:rsid w:val="00374091"/>
    <w:rsid w:val="003744AE"/>
    <w:rsid w:val="00375F64"/>
    <w:rsid w:val="00376B46"/>
    <w:rsid w:val="00377CC5"/>
    <w:rsid w:val="00380CAC"/>
    <w:rsid w:val="003812CA"/>
    <w:rsid w:val="003813A0"/>
    <w:rsid w:val="00383ACE"/>
    <w:rsid w:val="0038432B"/>
    <w:rsid w:val="00384670"/>
    <w:rsid w:val="00384776"/>
    <w:rsid w:val="00384BB8"/>
    <w:rsid w:val="0038566A"/>
    <w:rsid w:val="00386147"/>
    <w:rsid w:val="0038660B"/>
    <w:rsid w:val="00386AC6"/>
    <w:rsid w:val="003873C3"/>
    <w:rsid w:val="0038776A"/>
    <w:rsid w:val="0039100B"/>
    <w:rsid w:val="00391798"/>
    <w:rsid w:val="00391BFB"/>
    <w:rsid w:val="00391CAF"/>
    <w:rsid w:val="0039363F"/>
    <w:rsid w:val="00394B3C"/>
    <w:rsid w:val="0039591B"/>
    <w:rsid w:val="00396E27"/>
    <w:rsid w:val="00397341"/>
    <w:rsid w:val="003A102C"/>
    <w:rsid w:val="003A1B53"/>
    <w:rsid w:val="003A1D7A"/>
    <w:rsid w:val="003A222F"/>
    <w:rsid w:val="003A2830"/>
    <w:rsid w:val="003A2B88"/>
    <w:rsid w:val="003A338C"/>
    <w:rsid w:val="003A3699"/>
    <w:rsid w:val="003A399F"/>
    <w:rsid w:val="003A40CB"/>
    <w:rsid w:val="003A5246"/>
    <w:rsid w:val="003A53E1"/>
    <w:rsid w:val="003A5E85"/>
    <w:rsid w:val="003A6D8A"/>
    <w:rsid w:val="003B11DB"/>
    <w:rsid w:val="003B2A2E"/>
    <w:rsid w:val="003B3790"/>
    <w:rsid w:val="003B59AA"/>
    <w:rsid w:val="003B6280"/>
    <w:rsid w:val="003B7656"/>
    <w:rsid w:val="003C03D4"/>
    <w:rsid w:val="003C0C4B"/>
    <w:rsid w:val="003C0E04"/>
    <w:rsid w:val="003C3037"/>
    <w:rsid w:val="003C55F0"/>
    <w:rsid w:val="003C59E8"/>
    <w:rsid w:val="003C6393"/>
    <w:rsid w:val="003C7149"/>
    <w:rsid w:val="003C7D90"/>
    <w:rsid w:val="003C7EC3"/>
    <w:rsid w:val="003D0CF1"/>
    <w:rsid w:val="003D152A"/>
    <w:rsid w:val="003D1D6C"/>
    <w:rsid w:val="003D2C26"/>
    <w:rsid w:val="003D4A1A"/>
    <w:rsid w:val="003D765C"/>
    <w:rsid w:val="003E0C5A"/>
    <w:rsid w:val="003E0C9E"/>
    <w:rsid w:val="003E1AA5"/>
    <w:rsid w:val="003E273E"/>
    <w:rsid w:val="003E5D76"/>
    <w:rsid w:val="003E60F6"/>
    <w:rsid w:val="003E6A46"/>
    <w:rsid w:val="003E7A59"/>
    <w:rsid w:val="003F1294"/>
    <w:rsid w:val="003F1A58"/>
    <w:rsid w:val="003F25BA"/>
    <w:rsid w:val="003F2F01"/>
    <w:rsid w:val="003F39EF"/>
    <w:rsid w:val="003F72A0"/>
    <w:rsid w:val="004019C6"/>
    <w:rsid w:val="00402F92"/>
    <w:rsid w:val="004035AF"/>
    <w:rsid w:val="00403B88"/>
    <w:rsid w:val="00404493"/>
    <w:rsid w:val="004045A3"/>
    <w:rsid w:val="004076D9"/>
    <w:rsid w:val="00410006"/>
    <w:rsid w:val="0041248F"/>
    <w:rsid w:val="00414185"/>
    <w:rsid w:val="00415D9E"/>
    <w:rsid w:val="00416187"/>
    <w:rsid w:val="00416F00"/>
    <w:rsid w:val="00417B80"/>
    <w:rsid w:val="004203DE"/>
    <w:rsid w:val="00422444"/>
    <w:rsid w:val="00422A05"/>
    <w:rsid w:val="00423664"/>
    <w:rsid w:val="00424B63"/>
    <w:rsid w:val="004259C2"/>
    <w:rsid w:val="00426DF0"/>
    <w:rsid w:val="00430597"/>
    <w:rsid w:val="00431A63"/>
    <w:rsid w:val="00434247"/>
    <w:rsid w:val="004359E6"/>
    <w:rsid w:val="00435C56"/>
    <w:rsid w:val="00437EE8"/>
    <w:rsid w:val="00437F13"/>
    <w:rsid w:val="004404A6"/>
    <w:rsid w:val="00441AAF"/>
    <w:rsid w:val="0044411D"/>
    <w:rsid w:val="00444275"/>
    <w:rsid w:val="00444FEA"/>
    <w:rsid w:val="004478B0"/>
    <w:rsid w:val="00447BD9"/>
    <w:rsid w:val="00450B55"/>
    <w:rsid w:val="00450C29"/>
    <w:rsid w:val="004512A5"/>
    <w:rsid w:val="00451ADC"/>
    <w:rsid w:val="00452385"/>
    <w:rsid w:val="0045329F"/>
    <w:rsid w:val="00453D43"/>
    <w:rsid w:val="004540A3"/>
    <w:rsid w:val="004540CD"/>
    <w:rsid w:val="00454BB2"/>
    <w:rsid w:val="00463556"/>
    <w:rsid w:val="004643CE"/>
    <w:rsid w:val="00464A13"/>
    <w:rsid w:val="004668FF"/>
    <w:rsid w:val="00466E61"/>
    <w:rsid w:val="00466FD6"/>
    <w:rsid w:val="00467FAF"/>
    <w:rsid w:val="004723A6"/>
    <w:rsid w:val="00472755"/>
    <w:rsid w:val="00473325"/>
    <w:rsid w:val="004753EB"/>
    <w:rsid w:val="00475D29"/>
    <w:rsid w:val="0048295B"/>
    <w:rsid w:val="00483D52"/>
    <w:rsid w:val="00483F5C"/>
    <w:rsid w:val="00484D87"/>
    <w:rsid w:val="00485585"/>
    <w:rsid w:val="00485D02"/>
    <w:rsid w:val="00485D9D"/>
    <w:rsid w:val="00486951"/>
    <w:rsid w:val="00487156"/>
    <w:rsid w:val="00490341"/>
    <w:rsid w:val="00490A9A"/>
    <w:rsid w:val="00492C92"/>
    <w:rsid w:val="004933EC"/>
    <w:rsid w:val="004964B1"/>
    <w:rsid w:val="0049785E"/>
    <w:rsid w:val="004A11AE"/>
    <w:rsid w:val="004A2439"/>
    <w:rsid w:val="004A25AE"/>
    <w:rsid w:val="004A44C9"/>
    <w:rsid w:val="004A4C04"/>
    <w:rsid w:val="004A63A4"/>
    <w:rsid w:val="004B006F"/>
    <w:rsid w:val="004B2F47"/>
    <w:rsid w:val="004B30E8"/>
    <w:rsid w:val="004B3D25"/>
    <w:rsid w:val="004B4A42"/>
    <w:rsid w:val="004B62E4"/>
    <w:rsid w:val="004B723F"/>
    <w:rsid w:val="004B7CBF"/>
    <w:rsid w:val="004C3EAF"/>
    <w:rsid w:val="004C4866"/>
    <w:rsid w:val="004C5EE4"/>
    <w:rsid w:val="004C620E"/>
    <w:rsid w:val="004D16E4"/>
    <w:rsid w:val="004D20DD"/>
    <w:rsid w:val="004D2EC7"/>
    <w:rsid w:val="004D2FEC"/>
    <w:rsid w:val="004D5E0E"/>
    <w:rsid w:val="004D666D"/>
    <w:rsid w:val="004D7084"/>
    <w:rsid w:val="004E0528"/>
    <w:rsid w:val="004E170B"/>
    <w:rsid w:val="004E2B44"/>
    <w:rsid w:val="004E2BB7"/>
    <w:rsid w:val="004E4207"/>
    <w:rsid w:val="004E5152"/>
    <w:rsid w:val="004E563C"/>
    <w:rsid w:val="004E5BBF"/>
    <w:rsid w:val="004E7C69"/>
    <w:rsid w:val="004F0AAD"/>
    <w:rsid w:val="004F11DA"/>
    <w:rsid w:val="004F1DA7"/>
    <w:rsid w:val="004F3113"/>
    <w:rsid w:val="004F3CF8"/>
    <w:rsid w:val="004F6115"/>
    <w:rsid w:val="0050241E"/>
    <w:rsid w:val="005024E1"/>
    <w:rsid w:val="00505A15"/>
    <w:rsid w:val="0050679D"/>
    <w:rsid w:val="0050752C"/>
    <w:rsid w:val="00510AFC"/>
    <w:rsid w:val="005142A8"/>
    <w:rsid w:val="005144EC"/>
    <w:rsid w:val="005164B7"/>
    <w:rsid w:val="005169D1"/>
    <w:rsid w:val="00517C97"/>
    <w:rsid w:val="0052160C"/>
    <w:rsid w:val="00522414"/>
    <w:rsid w:val="0052318D"/>
    <w:rsid w:val="00524828"/>
    <w:rsid w:val="00524EDB"/>
    <w:rsid w:val="005253F3"/>
    <w:rsid w:val="00525902"/>
    <w:rsid w:val="00527A57"/>
    <w:rsid w:val="005307D9"/>
    <w:rsid w:val="00535DF6"/>
    <w:rsid w:val="005367E6"/>
    <w:rsid w:val="00537276"/>
    <w:rsid w:val="0054012D"/>
    <w:rsid w:val="00540D8C"/>
    <w:rsid w:val="0054169B"/>
    <w:rsid w:val="00541D14"/>
    <w:rsid w:val="005422E3"/>
    <w:rsid w:val="00542785"/>
    <w:rsid w:val="00544C12"/>
    <w:rsid w:val="0055041E"/>
    <w:rsid w:val="0055216A"/>
    <w:rsid w:val="005528A6"/>
    <w:rsid w:val="00553BD2"/>
    <w:rsid w:val="005544CE"/>
    <w:rsid w:val="00555E35"/>
    <w:rsid w:val="00560D64"/>
    <w:rsid w:val="00560ED0"/>
    <w:rsid w:val="0056128B"/>
    <w:rsid w:val="005617AE"/>
    <w:rsid w:val="00564833"/>
    <w:rsid w:val="005667B7"/>
    <w:rsid w:val="00566805"/>
    <w:rsid w:val="005669D0"/>
    <w:rsid w:val="00570A08"/>
    <w:rsid w:val="00570DD5"/>
    <w:rsid w:val="00570FFE"/>
    <w:rsid w:val="005718FF"/>
    <w:rsid w:val="005719AB"/>
    <w:rsid w:val="005726AB"/>
    <w:rsid w:val="0057620A"/>
    <w:rsid w:val="00577B93"/>
    <w:rsid w:val="0058583D"/>
    <w:rsid w:val="0058605D"/>
    <w:rsid w:val="0058609F"/>
    <w:rsid w:val="005870B3"/>
    <w:rsid w:val="005871F1"/>
    <w:rsid w:val="00587716"/>
    <w:rsid w:val="00587E3F"/>
    <w:rsid w:val="0059197A"/>
    <w:rsid w:val="00592146"/>
    <w:rsid w:val="00595714"/>
    <w:rsid w:val="00595FDD"/>
    <w:rsid w:val="0059639F"/>
    <w:rsid w:val="00596A01"/>
    <w:rsid w:val="00596DB2"/>
    <w:rsid w:val="005A208D"/>
    <w:rsid w:val="005A31F1"/>
    <w:rsid w:val="005A6210"/>
    <w:rsid w:val="005A652A"/>
    <w:rsid w:val="005A66A9"/>
    <w:rsid w:val="005A7927"/>
    <w:rsid w:val="005B11C1"/>
    <w:rsid w:val="005B195D"/>
    <w:rsid w:val="005B2959"/>
    <w:rsid w:val="005B2B3A"/>
    <w:rsid w:val="005B6597"/>
    <w:rsid w:val="005B69C0"/>
    <w:rsid w:val="005B70EF"/>
    <w:rsid w:val="005B7147"/>
    <w:rsid w:val="005B76D0"/>
    <w:rsid w:val="005B7B7B"/>
    <w:rsid w:val="005B7F8B"/>
    <w:rsid w:val="005C0A93"/>
    <w:rsid w:val="005C1B97"/>
    <w:rsid w:val="005C23C0"/>
    <w:rsid w:val="005C4387"/>
    <w:rsid w:val="005C4544"/>
    <w:rsid w:val="005C4573"/>
    <w:rsid w:val="005C5115"/>
    <w:rsid w:val="005C5361"/>
    <w:rsid w:val="005C5D9C"/>
    <w:rsid w:val="005C709A"/>
    <w:rsid w:val="005D0E47"/>
    <w:rsid w:val="005D1C9E"/>
    <w:rsid w:val="005D2860"/>
    <w:rsid w:val="005D4268"/>
    <w:rsid w:val="005D460D"/>
    <w:rsid w:val="005D4806"/>
    <w:rsid w:val="005D5F90"/>
    <w:rsid w:val="005E190C"/>
    <w:rsid w:val="005E20F1"/>
    <w:rsid w:val="005E2C48"/>
    <w:rsid w:val="005E3AF0"/>
    <w:rsid w:val="005E3CE2"/>
    <w:rsid w:val="005E3F4B"/>
    <w:rsid w:val="005E7671"/>
    <w:rsid w:val="005E77DC"/>
    <w:rsid w:val="005F073C"/>
    <w:rsid w:val="005F0811"/>
    <w:rsid w:val="005F09CB"/>
    <w:rsid w:val="005F1497"/>
    <w:rsid w:val="005F2CFA"/>
    <w:rsid w:val="005F3965"/>
    <w:rsid w:val="005F4F7A"/>
    <w:rsid w:val="005F5582"/>
    <w:rsid w:val="00600FB8"/>
    <w:rsid w:val="0060118E"/>
    <w:rsid w:val="006017D7"/>
    <w:rsid w:val="0060359F"/>
    <w:rsid w:val="00606852"/>
    <w:rsid w:val="00607377"/>
    <w:rsid w:val="006102D3"/>
    <w:rsid w:val="006105A0"/>
    <w:rsid w:val="006107EE"/>
    <w:rsid w:val="00610B92"/>
    <w:rsid w:val="00610FF8"/>
    <w:rsid w:val="00611153"/>
    <w:rsid w:val="00611C22"/>
    <w:rsid w:val="00612E0D"/>
    <w:rsid w:val="00613081"/>
    <w:rsid w:val="00613F7C"/>
    <w:rsid w:val="00614795"/>
    <w:rsid w:val="00615565"/>
    <w:rsid w:val="006159E0"/>
    <w:rsid w:val="0061645A"/>
    <w:rsid w:val="0061677C"/>
    <w:rsid w:val="00617807"/>
    <w:rsid w:val="0062018D"/>
    <w:rsid w:val="00621AF5"/>
    <w:rsid w:val="006234AE"/>
    <w:rsid w:val="00625029"/>
    <w:rsid w:val="00627D6B"/>
    <w:rsid w:val="0063016E"/>
    <w:rsid w:val="006307F6"/>
    <w:rsid w:val="006319E2"/>
    <w:rsid w:val="00633065"/>
    <w:rsid w:val="00633409"/>
    <w:rsid w:val="00633426"/>
    <w:rsid w:val="006334F2"/>
    <w:rsid w:val="006337A2"/>
    <w:rsid w:val="006368A5"/>
    <w:rsid w:val="00636A1C"/>
    <w:rsid w:val="00641C47"/>
    <w:rsid w:val="00641E43"/>
    <w:rsid w:val="006421D4"/>
    <w:rsid w:val="0064292A"/>
    <w:rsid w:val="00642C44"/>
    <w:rsid w:val="006433B5"/>
    <w:rsid w:val="00643802"/>
    <w:rsid w:val="00643D87"/>
    <w:rsid w:val="006445F1"/>
    <w:rsid w:val="00644918"/>
    <w:rsid w:val="006449AD"/>
    <w:rsid w:val="006449AE"/>
    <w:rsid w:val="006470FE"/>
    <w:rsid w:val="00647126"/>
    <w:rsid w:val="00650A71"/>
    <w:rsid w:val="00652846"/>
    <w:rsid w:val="00655315"/>
    <w:rsid w:val="00655591"/>
    <w:rsid w:val="006570BC"/>
    <w:rsid w:val="00661B8D"/>
    <w:rsid w:val="00662506"/>
    <w:rsid w:val="0066299F"/>
    <w:rsid w:val="00662ED0"/>
    <w:rsid w:val="00662F0A"/>
    <w:rsid w:val="006639AD"/>
    <w:rsid w:val="006651F5"/>
    <w:rsid w:val="006665EB"/>
    <w:rsid w:val="0066794B"/>
    <w:rsid w:val="00667E25"/>
    <w:rsid w:val="00670322"/>
    <w:rsid w:val="00672B9B"/>
    <w:rsid w:val="00674B70"/>
    <w:rsid w:val="00675A33"/>
    <w:rsid w:val="00675ACF"/>
    <w:rsid w:val="00676321"/>
    <w:rsid w:val="00677FB5"/>
    <w:rsid w:val="00680742"/>
    <w:rsid w:val="00682051"/>
    <w:rsid w:val="00682B6D"/>
    <w:rsid w:val="00684C4B"/>
    <w:rsid w:val="0068771C"/>
    <w:rsid w:val="00687DD6"/>
    <w:rsid w:val="0069030F"/>
    <w:rsid w:val="00691306"/>
    <w:rsid w:val="00691B45"/>
    <w:rsid w:val="00691B99"/>
    <w:rsid w:val="00692AD3"/>
    <w:rsid w:val="006954A8"/>
    <w:rsid w:val="006964B5"/>
    <w:rsid w:val="0069732E"/>
    <w:rsid w:val="006974ED"/>
    <w:rsid w:val="006976FD"/>
    <w:rsid w:val="006A105D"/>
    <w:rsid w:val="006A20E6"/>
    <w:rsid w:val="006A29C4"/>
    <w:rsid w:val="006A3B12"/>
    <w:rsid w:val="006A3F9F"/>
    <w:rsid w:val="006A6295"/>
    <w:rsid w:val="006A6EC4"/>
    <w:rsid w:val="006A6F53"/>
    <w:rsid w:val="006A76E4"/>
    <w:rsid w:val="006B141B"/>
    <w:rsid w:val="006B1692"/>
    <w:rsid w:val="006C0035"/>
    <w:rsid w:val="006C056D"/>
    <w:rsid w:val="006C2E8A"/>
    <w:rsid w:val="006C376D"/>
    <w:rsid w:val="006C3BDB"/>
    <w:rsid w:val="006C5A81"/>
    <w:rsid w:val="006C634C"/>
    <w:rsid w:val="006D13DF"/>
    <w:rsid w:val="006D192C"/>
    <w:rsid w:val="006D1F89"/>
    <w:rsid w:val="006D22DF"/>
    <w:rsid w:val="006D249F"/>
    <w:rsid w:val="006D3B00"/>
    <w:rsid w:val="006D4C51"/>
    <w:rsid w:val="006D59F4"/>
    <w:rsid w:val="006D7DB2"/>
    <w:rsid w:val="006E0373"/>
    <w:rsid w:val="006E23FD"/>
    <w:rsid w:val="006E3070"/>
    <w:rsid w:val="006E5E12"/>
    <w:rsid w:val="006E6D50"/>
    <w:rsid w:val="006E72CB"/>
    <w:rsid w:val="006F2823"/>
    <w:rsid w:val="006F3827"/>
    <w:rsid w:val="006F3A4D"/>
    <w:rsid w:val="006F3BE8"/>
    <w:rsid w:val="006F3DD5"/>
    <w:rsid w:val="006F485B"/>
    <w:rsid w:val="0070075F"/>
    <w:rsid w:val="00701B1B"/>
    <w:rsid w:val="00701F55"/>
    <w:rsid w:val="007028F4"/>
    <w:rsid w:val="007035E0"/>
    <w:rsid w:val="00703ABD"/>
    <w:rsid w:val="00706AC0"/>
    <w:rsid w:val="00706EA0"/>
    <w:rsid w:val="00707B5C"/>
    <w:rsid w:val="007100DC"/>
    <w:rsid w:val="00712204"/>
    <w:rsid w:val="0071409A"/>
    <w:rsid w:val="00715091"/>
    <w:rsid w:val="007154AA"/>
    <w:rsid w:val="00715F04"/>
    <w:rsid w:val="00716308"/>
    <w:rsid w:val="007166CB"/>
    <w:rsid w:val="007170B2"/>
    <w:rsid w:val="00717D51"/>
    <w:rsid w:val="00717FA2"/>
    <w:rsid w:val="00720B21"/>
    <w:rsid w:val="00721484"/>
    <w:rsid w:val="00722EB4"/>
    <w:rsid w:val="007250A0"/>
    <w:rsid w:val="00725CA9"/>
    <w:rsid w:val="007271CB"/>
    <w:rsid w:val="0073256A"/>
    <w:rsid w:val="00734222"/>
    <w:rsid w:val="00735FE0"/>
    <w:rsid w:val="00736E45"/>
    <w:rsid w:val="00743CE0"/>
    <w:rsid w:val="00744D0C"/>
    <w:rsid w:val="00745A19"/>
    <w:rsid w:val="00745D0A"/>
    <w:rsid w:val="00745F27"/>
    <w:rsid w:val="007467E4"/>
    <w:rsid w:val="00751BD5"/>
    <w:rsid w:val="0075215A"/>
    <w:rsid w:val="00752A91"/>
    <w:rsid w:val="00753575"/>
    <w:rsid w:val="007541B8"/>
    <w:rsid w:val="0075420D"/>
    <w:rsid w:val="00755A82"/>
    <w:rsid w:val="00756B01"/>
    <w:rsid w:val="00757800"/>
    <w:rsid w:val="00757D22"/>
    <w:rsid w:val="007636DB"/>
    <w:rsid w:val="0076431F"/>
    <w:rsid w:val="00765020"/>
    <w:rsid w:val="00766674"/>
    <w:rsid w:val="007675CB"/>
    <w:rsid w:val="00770433"/>
    <w:rsid w:val="007717F6"/>
    <w:rsid w:val="007726C7"/>
    <w:rsid w:val="0077403E"/>
    <w:rsid w:val="007805C5"/>
    <w:rsid w:val="0078158D"/>
    <w:rsid w:val="00782B3A"/>
    <w:rsid w:val="007833CB"/>
    <w:rsid w:val="00785B05"/>
    <w:rsid w:val="007874D5"/>
    <w:rsid w:val="007910BE"/>
    <w:rsid w:val="00791658"/>
    <w:rsid w:val="007920B1"/>
    <w:rsid w:val="00792D47"/>
    <w:rsid w:val="007936D6"/>
    <w:rsid w:val="00794341"/>
    <w:rsid w:val="00794A09"/>
    <w:rsid w:val="00796B07"/>
    <w:rsid w:val="007972AD"/>
    <w:rsid w:val="0079762E"/>
    <w:rsid w:val="007978DF"/>
    <w:rsid w:val="007A03B6"/>
    <w:rsid w:val="007A1745"/>
    <w:rsid w:val="007A38A3"/>
    <w:rsid w:val="007A5F84"/>
    <w:rsid w:val="007A6D73"/>
    <w:rsid w:val="007B1473"/>
    <w:rsid w:val="007B19D3"/>
    <w:rsid w:val="007B396E"/>
    <w:rsid w:val="007B5AE9"/>
    <w:rsid w:val="007B5F48"/>
    <w:rsid w:val="007B7859"/>
    <w:rsid w:val="007B7FB8"/>
    <w:rsid w:val="007C074A"/>
    <w:rsid w:val="007C171D"/>
    <w:rsid w:val="007C1CCF"/>
    <w:rsid w:val="007C1CD8"/>
    <w:rsid w:val="007C1F2C"/>
    <w:rsid w:val="007C26C6"/>
    <w:rsid w:val="007C46D1"/>
    <w:rsid w:val="007C4C39"/>
    <w:rsid w:val="007C6863"/>
    <w:rsid w:val="007C7DCC"/>
    <w:rsid w:val="007D0D09"/>
    <w:rsid w:val="007D144B"/>
    <w:rsid w:val="007D1A50"/>
    <w:rsid w:val="007D21B3"/>
    <w:rsid w:val="007D2AA9"/>
    <w:rsid w:val="007D2BF7"/>
    <w:rsid w:val="007D4838"/>
    <w:rsid w:val="007D4FDA"/>
    <w:rsid w:val="007D59AE"/>
    <w:rsid w:val="007D6179"/>
    <w:rsid w:val="007D65AE"/>
    <w:rsid w:val="007E3641"/>
    <w:rsid w:val="007E4FD6"/>
    <w:rsid w:val="007E6515"/>
    <w:rsid w:val="007F05DA"/>
    <w:rsid w:val="007F14A6"/>
    <w:rsid w:val="007F19FD"/>
    <w:rsid w:val="007F1DDF"/>
    <w:rsid w:val="007F3CE9"/>
    <w:rsid w:val="007F7062"/>
    <w:rsid w:val="007F7F4F"/>
    <w:rsid w:val="0080064A"/>
    <w:rsid w:val="008010C2"/>
    <w:rsid w:val="0080133D"/>
    <w:rsid w:val="008013B8"/>
    <w:rsid w:val="008016FB"/>
    <w:rsid w:val="008027D4"/>
    <w:rsid w:val="00802EAB"/>
    <w:rsid w:val="008041FA"/>
    <w:rsid w:val="00805FB2"/>
    <w:rsid w:val="008074FC"/>
    <w:rsid w:val="00807545"/>
    <w:rsid w:val="008114D2"/>
    <w:rsid w:val="00812B7A"/>
    <w:rsid w:val="0081391F"/>
    <w:rsid w:val="00813959"/>
    <w:rsid w:val="008146C8"/>
    <w:rsid w:val="008155A1"/>
    <w:rsid w:val="00816860"/>
    <w:rsid w:val="008169CA"/>
    <w:rsid w:val="00820EE7"/>
    <w:rsid w:val="00824D1A"/>
    <w:rsid w:val="00825EBA"/>
    <w:rsid w:val="00826A67"/>
    <w:rsid w:val="00827E46"/>
    <w:rsid w:val="00830EEF"/>
    <w:rsid w:val="008320DA"/>
    <w:rsid w:val="008348F4"/>
    <w:rsid w:val="00834C05"/>
    <w:rsid w:val="00835BD0"/>
    <w:rsid w:val="008375B4"/>
    <w:rsid w:val="00837C60"/>
    <w:rsid w:val="0084068C"/>
    <w:rsid w:val="00842A27"/>
    <w:rsid w:val="008503FD"/>
    <w:rsid w:val="00850A6B"/>
    <w:rsid w:val="00852677"/>
    <w:rsid w:val="008540B8"/>
    <w:rsid w:val="00854779"/>
    <w:rsid w:val="00854EC6"/>
    <w:rsid w:val="00855A5A"/>
    <w:rsid w:val="008606C9"/>
    <w:rsid w:val="0086324C"/>
    <w:rsid w:val="008647EB"/>
    <w:rsid w:val="00866720"/>
    <w:rsid w:val="008671F3"/>
    <w:rsid w:val="0086730F"/>
    <w:rsid w:val="008714C2"/>
    <w:rsid w:val="00871526"/>
    <w:rsid w:val="008719CE"/>
    <w:rsid w:val="00871E02"/>
    <w:rsid w:val="008720C0"/>
    <w:rsid w:val="00873122"/>
    <w:rsid w:val="0087454A"/>
    <w:rsid w:val="008750F4"/>
    <w:rsid w:val="008773E9"/>
    <w:rsid w:val="0088061E"/>
    <w:rsid w:val="0088144B"/>
    <w:rsid w:val="008814ED"/>
    <w:rsid w:val="00882B3B"/>
    <w:rsid w:val="00883CF3"/>
    <w:rsid w:val="00885CD1"/>
    <w:rsid w:val="00886C6C"/>
    <w:rsid w:val="00890C04"/>
    <w:rsid w:val="008915EB"/>
    <w:rsid w:val="008947F4"/>
    <w:rsid w:val="008A0CD3"/>
    <w:rsid w:val="008A26DE"/>
    <w:rsid w:val="008A2729"/>
    <w:rsid w:val="008A2D09"/>
    <w:rsid w:val="008A52D4"/>
    <w:rsid w:val="008B0CAF"/>
    <w:rsid w:val="008B3F72"/>
    <w:rsid w:val="008B48D8"/>
    <w:rsid w:val="008B5086"/>
    <w:rsid w:val="008B699E"/>
    <w:rsid w:val="008B6C74"/>
    <w:rsid w:val="008B6E7A"/>
    <w:rsid w:val="008B7FA0"/>
    <w:rsid w:val="008C02BF"/>
    <w:rsid w:val="008C071F"/>
    <w:rsid w:val="008C1369"/>
    <w:rsid w:val="008C1C2C"/>
    <w:rsid w:val="008C26A9"/>
    <w:rsid w:val="008C2E5C"/>
    <w:rsid w:val="008C2EAB"/>
    <w:rsid w:val="008C3A37"/>
    <w:rsid w:val="008C711E"/>
    <w:rsid w:val="008D0224"/>
    <w:rsid w:val="008D0594"/>
    <w:rsid w:val="008D084B"/>
    <w:rsid w:val="008D320F"/>
    <w:rsid w:val="008D3B53"/>
    <w:rsid w:val="008D4C38"/>
    <w:rsid w:val="008D4CAE"/>
    <w:rsid w:val="008D585A"/>
    <w:rsid w:val="008D64FA"/>
    <w:rsid w:val="008D6BCF"/>
    <w:rsid w:val="008E0690"/>
    <w:rsid w:val="008E4957"/>
    <w:rsid w:val="008E4F44"/>
    <w:rsid w:val="008E5F5E"/>
    <w:rsid w:val="008E684E"/>
    <w:rsid w:val="008E69C3"/>
    <w:rsid w:val="008F1B72"/>
    <w:rsid w:val="008F36DB"/>
    <w:rsid w:val="008F6396"/>
    <w:rsid w:val="008F69FE"/>
    <w:rsid w:val="008F7927"/>
    <w:rsid w:val="009019B2"/>
    <w:rsid w:val="00903852"/>
    <w:rsid w:val="00904950"/>
    <w:rsid w:val="00904DCE"/>
    <w:rsid w:val="009054B9"/>
    <w:rsid w:val="00905778"/>
    <w:rsid w:val="0090586A"/>
    <w:rsid w:val="00906C49"/>
    <w:rsid w:val="009073F7"/>
    <w:rsid w:val="00907B9D"/>
    <w:rsid w:val="00907DC2"/>
    <w:rsid w:val="00907E14"/>
    <w:rsid w:val="00911CA1"/>
    <w:rsid w:val="0091771E"/>
    <w:rsid w:val="00920686"/>
    <w:rsid w:val="00920DF9"/>
    <w:rsid w:val="00923E69"/>
    <w:rsid w:val="009248B5"/>
    <w:rsid w:val="00924DC1"/>
    <w:rsid w:val="00925917"/>
    <w:rsid w:val="00925DD4"/>
    <w:rsid w:val="00927335"/>
    <w:rsid w:val="00930B8D"/>
    <w:rsid w:val="00930F3F"/>
    <w:rsid w:val="009310C1"/>
    <w:rsid w:val="00931FF9"/>
    <w:rsid w:val="00932E23"/>
    <w:rsid w:val="009335D6"/>
    <w:rsid w:val="00933F91"/>
    <w:rsid w:val="00934AF0"/>
    <w:rsid w:val="00936A79"/>
    <w:rsid w:val="00940316"/>
    <w:rsid w:val="009410CB"/>
    <w:rsid w:val="0094157C"/>
    <w:rsid w:val="00943FEE"/>
    <w:rsid w:val="009442EF"/>
    <w:rsid w:val="00944CF8"/>
    <w:rsid w:val="00945BA0"/>
    <w:rsid w:val="00950D0D"/>
    <w:rsid w:val="00952294"/>
    <w:rsid w:val="00953708"/>
    <w:rsid w:val="00953B7B"/>
    <w:rsid w:val="0095579F"/>
    <w:rsid w:val="00955C85"/>
    <w:rsid w:val="00957670"/>
    <w:rsid w:val="00960045"/>
    <w:rsid w:val="009601B9"/>
    <w:rsid w:val="00960F8F"/>
    <w:rsid w:val="00960FE4"/>
    <w:rsid w:val="00961B5A"/>
    <w:rsid w:val="00962019"/>
    <w:rsid w:val="00963A03"/>
    <w:rsid w:val="009643EF"/>
    <w:rsid w:val="00965618"/>
    <w:rsid w:val="00966EDD"/>
    <w:rsid w:val="00967785"/>
    <w:rsid w:val="00971254"/>
    <w:rsid w:val="009737FD"/>
    <w:rsid w:val="009741CA"/>
    <w:rsid w:val="0097478C"/>
    <w:rsid w:val="00975082"/>
    <w:rsid w:val="00975123"/>
    <w:rsid w:val="00975A43"/>
    <w:rsid w:val="00981A80"/>
    <w:rsid w:val="00982459"/>
    <w:rsid w:val="00984645"/>
    <w:rsid w:val="0098531E"/>
    <w:rsid w:val="00985894"/>
    <w:rsid w:val="00986D21"/>
    <w:rsid w:val="009903D4"/>
    <w:rsid w:val="00991476"/>
    <w:rsid w:val="00992A31"/>
    <w:rsid w:val="009939A5"/>
    <w:rsid w:val="00996951"/>
    <w:rsid w:val="00996B5A"/>
    <w:rsid w:val="009A0168"/>
    <w:rsid w:val="009A08F4"/>
    <w:rsid w:val="009A44CF"/>
    <w:rsid w:val="009A498F"/>
    <w:rsid w:val="009A6563"/>
    <w:rsid w:val="009A6AA5"/>
    <w:rsid w:val="009A7C41"/>
    <w:rsid w:val="009A7E13"/>
    <w:rsid w:val="009B0C68"/>
    <w:rsid w:val="009B0C8B"/>
    <w:rsid w:val="009B0D86"/>
    <w:rsid w:val="009B0DE1"/>
    <w:rsid w:val="009B2BE7"/>
    <w:rsid w:val="009B303C"/>
    <w:rsid w:val="009B3451"/>
    <w:rsid w:val="009B4732"/>
    <w:rsid w:val="009B4782"/>
    <w:rsid w:val="009B61E3"/>
    <w:rsid w:val="009C0ED9"/>
    <w:rsid w:val="009C1544"/>
    <w:rsid w:val="009C60A5"/>
    <w:rsid w:val="009C690A"/>
    <w:rsid w:val="009C74B9"/>
    <w:rsid w:val="009D08E7"/>
    <w:rsid w:val="009D21AA"/>
    <w:rsid w:val="009D33DF"/>
    <w:rsid w:val="009D5195"/>
    <w:rsid w:val="009E324E"/>
    <w:rsid w:val="009E3A90"/>
    <w:rsid w:val="009E4865"/>
    <w:rsid w:val="009E53A6"/>
    <w:rsid w:val="009E53B8"/>
    <w:rsid w:val="009E68FE"/>
    <w:rsid w:val="009E7803"/>
    <w:rsid w:val="009F3C45"/>
    <w:rsid w:val="009F4CE6"/>
    <w:rsid w:val="009F6C74"/>
    <w:rsid w:val="009F7D4A"/>
    <w:rsid w:val="00A00CD6"/>
    <w:rsid w:val="00A01316"/>
    <w:rsid w:val="00A02407"/>
    <w:rsid w:val="00A05E9A"/>
    <w:rsid w:val="00A1058B"/>
    <w:rsid w:val="00A10E6F"/>
    <w:rsid w:val="00A10F0A"/>
    <w:rsid w:val="00A14364"/>
    <w:rsid w:val="00A1461F"/>
    <w:rsid w:val="00A167B8"/>
    <w:rsid w:val="00A1685B"/>
    <w:rsid w:val="00A169DF"/>
    <w:rsid w:val="00A2012C"/>
    <w:rsid w:val="00A20D13"/>
    <w:rsid w:val="00A21281"/>
    <w:rsid w:val="00A21BCA"/>
    <w:rsid w:val="00A22264"/>
    <w:rsid w:val="00A2396D"/>
    <w:rsid w:val="00A24BFB"/>
    <w:rsid w:val="00A25538"/>
    <w:rsid w:val="00A26340"/>
    <w:rsid w:val="00A265AF"/>
    <w:rsid w:val="00A26D1E"/>
    <w:rsid w:val="00A307DF"/>
    <w:rsid w:val="00A30819"/>
    <w:rsid w:val="00A32110"/>
    <w:rsid w:val="00A3384C"/>
    <w:rsid w:val="00A357F1"/>
    <w:rsid w:val="00A363EE"/>
    <w:rsid w:val="00A36FC0"/>
    <w:rsid w:val="00A37740"/>
    <w:rsid w:val="00A42644"/>
    <w:rsid w:val="00A44E9C"/>
    <w:rsid w:val="00A462EA"/>
    <w:rsid w:val="00A4661A"/>
    <w:rsid w:val="00A46DA1"/>
    <w:rsid w:val="00A52F5B"/>
    <w:rsid w:val="00A54430"/>
    <w:rsid w:val="00A5769E"/>
    <w:rsid w:val="00A603FA"/>
    <w:rsid w:val="00A614B0"/>
    <w:rsid w:val="00A6238D"/>
    <w:rsid w:val="00A631CF"/>
    <w:rsid w:val="00A6542B"/>
    <w:rsid w:val="00A702F0"/>
    <w:rsid w:val="00A704A6"/>
    <w:rsid w:val="00A70979"/>
    <w:rsid w:val="00A71017"/>
    <w:rsid w:val="00A714E3"/>
    <w:rsid w:val="00A7164A"/>
    <w:rsid w:val="00A71B04"/>
    <w:rsid w:val="00A747AD"/>
    <w:rsid w:val="00A75CE5"/>
    <w:rsid w:val="00A76E69"/>
    <w:rsid w:val="00A8053D"/>
    <w:rsid w:val="00A8154D"/>
    <w:rsid w:val="00A82BFB"/>
    <w:rsid w:val="00A833FE"/>
    <w:rsid w:val="00A851D8"/>
    <w:rsid w:val="00A87385"/>
    <w:rsid w:val="00A908DE"/>
    <w:rsid w:val="00A92F24"/>
    <w:rsid w:val="00A959E6"/>
    <w:rsid w:val="00A95D68"/>
    <w:rsid w:val="00A966FC"/>
    <w:rsid w:val="00A96F2C"/>
    <w:rsid w:val="00AA1328"/>
    <w:rsid w:val="00AA167A"/>
    <w:rsid w:val="00AA1D87"/>
    <w:rsid w:val="00AA1EF3"/>
    <w:rsid w:val="00AA212D"/>
    <w:rsid w:val="00AA4054"/>
    <w:rsid w:val="00AA4397"/>
    <w:rsid w:val="00AA4BF1"/>
    <w:rsid w:val="00AA6D85"/>
    <w:rsid w:val="00AA7A88"/>
    <w:rsid w:val="00AB338A"/>
    <w:rsid w:val="00AB6F5E"/>
    <w:rsid w:val="00AC2F93"/>
    <w:rsid w:val="00AC4F67"/>
    <w:rsid w:val="00AC5BD9"/>
    <w:rsid w:val="00AD1E9F"/>
    <w:rsid w:val="00AD27C1"/>
    <w:rsid w:val="00AD2FA5"/>
    <w:rsid w:val="00AD3581"/>
    <w:rsid w:val="00AD3C05"/>
    <w:rsid w:val="00AD6F21"/>
    <w:rsid w:val="00AE1CB0"/>
    <w:rsid w:val="00AE4383"/>
    <w:rsid w:val="00AE4AB5"/>
    <w:rsid w:val="00AE4C17"/>
    <w:rsid w:val="00AE4F84"/>
    <w:rsid w:val="00AE5510"/>
    <w:rsid w:val="00AE597A"/>
    <w:rsid w:val="00AE71BE"/>
    <w:rsid w:val="00AF3657"/>
    <w:rsid w:val="00AF4D77"/>
    <w:rsid w:val="00AF6AB2"/>
    <w:rsid w:val="00AF6C1C"/>
    <w:rsid w:val="00AF77B2"/>
    <w:rsid w:val="00B012AF"/>
    <w:rsid w:val="00B01365"/>
    <w:rsid w:val="00B0363D"/>
    <w:rsid w:val="00B05F0C"/>
    <w:rsid w:val="00B0647B"/>
    <w:rsid w:val="00B069FA"/>
    <w:rsid w:val="00B06D31"/>
    <w:rsid w:val="00B07047"/>
    <w:rsid w:val="00B1063A"/>
    <w:rsid w:val="00B11232"/>
    <w:rsid w:val="00B12362"/>
    <w:rsid w:val="00B12542"/>
    <w:rsid w:val="00B20A5C"/>
    <w:rsid w:val="00B216A3"/>
    <w:rsid w:val="00B2296D"/>
    <w:rsid w:val="00B25805"/>
    <w:rsid w:val="00B26490"/>
    <w:rsid w:val="00B26784"/>
    <w:rsid w:val="00B26986"/>
    <w:rsid w:val="00B26DE3"/>
    <w:rsid w:val="00B30E5B"/>
    <w:rsid w:val="00B31AAA"/>
    <w:rsid w:val="00B34408"/>
    <w:rsid w:val="00B34890"/>
    <w:rsid w:val="00B35358"/>
    <w:rsid w:val="00B355BC"/>
    <w:rsid w:val="00B3575D"/>
    <w:rsid w:val="00B35A36"/>
    <w:rsid w:val="00B435B5"/>
    <w:rsid w:val="00B43A8C"/>
    <w:rsid w:val="00B45321"/>
    <w:rsid w:val="00B45AA2"/>
    <w:rsid w:val="00B510F6"/>
    <w:rsid w:val="00B5220C"/>
    <w:rsid w:val="00B564B1"/>
    <w:rsid w:val="00B564B6"/>
    <w:rsid w:val="00B57085"/>
    <w:rsid w:val="00B578E1"/>
    <w:rsid w:val="00B60332"/>
    <w:rsid w:val="00B60618"/>
    <w:rsid w:val="00B61223"/>
    <w:rsid w:val="00B612DC"/>
    <w:rsid w:val="00B61DB7"/>
    <w:rsid w:val="00B637AF"/>
    <w:rsid w:val="00B651B9"/>
    <w:rsid w:val="00B6565D"/>
    <w:rsid w:val="00B70197"/>
    <w:rsid w:val="00B70F0C"/>
    <w:rsid w:val="00B71A98"/>
    <w:rsid w:val="00B71E10"/>
    <w:rsid w:val="00B753E4"/>
    <w:rsid w:val="00B801E5"/>
    <w:rsid w:val="00B82043"/>
    <w:rsid w:val="00B82BFE"/>
    <w:rsid w:val="00B86137"/>
    <w:rsid w:val="00B86492"/>
    <w:rsid w:val="00B867A0"/>
    <w:rsid w:val="00B86825"/>
    <w:rsid w:val="00B86BD3"/>
    <w:rsid w:val="00B86F31"/>
    <w:rsid w:val="00B905A7"/>
    <w:rsid w:val="00B9149B"/>
    <w:rsid w:val="00B91817"/>
    <w:rsid w:val="00B91A40"/>
    <w:rsid w:val="00B92433"/>
    <w:rsid w:val="00B9291E"/>
    <w:rsid w:val="00B95568"/>
    <w:rsid w:val="00B955C6"/>
    <w:rsid w:val="00B971AD"/>
    <w:rsid w:val="00BA0223"/>
    <w:rsid w:val="00BA139E"/>
    <w:rsid w:val="00BA175C"/>
    <w:rsid w:val="00BA4198"/>
    <w:rsid w:val="00BA4641"/>
    <w:rsid w:val="00BA4E94"/>
    <w:rsid w:val="00BA5AC7"/>
    <w:rsid w:val="00BA684F"/>
    <w:rsid w:val="00BA7ABA"/>
    <w:rsid w:val="00BA7C78"/>
    <w:rsid w:val="00BB0FE8"/>
    <w:rsid w:val="00BB136E"/>
    <w:rsid w:val="00BB22C4"/>
    <w:rsid w:val="00BB327B"/>
    <w:rsid w:val="00BB6763"/>
    <w:rsid w:val="00BB7ECD"/>
    <w:rsid w:val="00BC0029"/>
    <w:rsid w:val="00BC010F"/>
    <w:rsid w:val="00BC238B"/>
    <w:rsid w:val="00BC4275"/>
    <w:rsid w:val="00BC4E5F"/>
    <w:rsid w:val="00BC52EB"/>
    <w:rsid w:val="00BC587A"/>
    <w:rsid w:val="00BC58C4"/>
    <w:rsid w:val="00BC6C70"/>
    <w:rsid w:val="00BC7056"/>
    <w:rsid w:val="00BC7A0E"/>
    <w:rsid w:val="00BC7DAA"/>
    <w:rsid w:val="00BD1CEC"/>
    <w:rsid w:val="00BD2203"/>
    <w:rsid w:val="00BD3D7A"/>
    <w:rsid w:val="00BD6508"/>
    <w:rsid w:val="00BE0033"/>
    <w:rsid w:val="00BE0D9A"/>
    <w:rsid w:val="00BE1EC0"/>
    <w:rsid w:val="00BE3363"/>
    <w:rsid w:val="00BE33FD"/>
    <w:rsid w:val="00BE406C"/>
    <w:rsid w:val="00BE597C"/>
    <w:rsid w:val="00BE63B4"/>
    <w:rsid w:val="00BE64B8"/>
    <w:rsid w:val="00BE6646"/>
    <w:rsid w:val="00BE67F2"/>
    <w:rsid w:val="00BE6D3A"/>
    <w:rsid w:val="00BF1195"/>
    <w:rsid w:val="00BF1842"/>
    <w:rsid w:val="00BF2EAA"/>
    <w:rsid w:val="00BF3F47"/>
    <w:rsid w:val="00BF5A70"/>
    <w:rsid w:val="00BF63C1"/>
    <w:rsid w:val="00BF68C9"/>
    <w:rsid w:val="00BF7C1C"/>
    <w:rsid w:val="00C00389"/>
    <w:rsid w:val="00C044A2"/>
    <w:rsid w:val="00C04863"/>
    <w:rsid w:val="00C06D74"/>
    <w:rsid w:val="00C07489"/>
    <w:rsid w:val="00C10544"/>
    <w:rsid w:val="00C10A25"/>
    <w:rsid w:val="00C121C7"/>
    <w:rsid w:val="00C132CE"/>
    <w:rsid w:val="00C1345C"/>
    <w:rsid w:val="00C13A4D"/>
    <w:rsid w:val="00C13F92"/>
    <w:rsid w:val="00C14455"/>
    <w:rsid w:val="00C1548C"/>
    <w:rsid w:val="00C17B39"/>
    <w:rsid w:val="00C21A50"/>
    <w:rsid w:val="00C22363"/>
    <w:rsid w:val="00C22C9C"/>
    <w:rsid w:val="00C22F7D"/>
    <w:rsid w:val="00C23AFC"/>
    <w:rsid w:val="00C23DA4"/>
    <w:rsid w:val="00C25557"/>
    <w:rsid w:val="00C25FEB"/>
    <w:rsid w:val="00C30350"/>
    <w:rsid w:val="00C33093"/>
    <w:rsid w:val="00C33FC8"/>
    <w:rsid w:val="00C34BFD"/>
    <w:rsid w:val="00C36D4A"/>
    <w:rsid w:val="00C36EF7"/>
    <w:rsid w:val="00C37576"/>
    <w:rsid w:val="00C403CD"/>
    <w:rsid w:val="00C40C6B"/>
    <w:rsid w:val="00C417D0"/>
    <w:rsid w:val="00C42950"/>
    <w:rsid w:val="00C430DA"/>
    <w:rsid w:val="00C442AE"/>
    <w:rsid w:val="00C46B53"/>
    <w:rsid w:val="00C46EA7"/>
    <w:rsid w:val="00C472A2"/>
    <w:rsid w:val="00C4795F"/>
    <w:rsid w:val="00C5342F"/>
    <w:rsid w:val="00C536AA"/>
    <w:rsid w:val="00C53D79"/>
    <w:rsid w:val="00C541E5"/>
    <w:rsid w:val="00C55671"/>
    <w:rsid w:val="00C55A3E"/>
    <w:rsid w:val="00C56B44"/>
    <w:rsid w:val="00C603C3"/>
    <w:rsid w:val="00C61F66"/>
    <w:rsid w:val="00C63DD4"/>
    <w:rsid w:val="00C64463"/>
    <w:rsid w:val="00C64532"/>
    <w:rsid w:val="00C64984"/>
    <w:rsid w:val="00C70755"/>
    <w:rsid w:val="00C71616"/>
    <w:rsid w:val="00C7196E"/>
    <w:rsid w:val="00C73E7A"/>
    <w:rsid w:val="00C75CA7"/>
    <w:rsid w:val="00C76441"/>
    <w:rsid w:val="00C76BB7"/>
    <w:rsid w:val="00C76D48"/>
    <w:rsid w:val="00C77D68"/>
    <w:rsid w:val="00C83F9F"/>
    <w:rsid w:val="00C84097"/>
    <w:rsid w:val="00C85D7C"/>
    <w:rsid w:val="00C87EBF"/>
    <w:rsid w:val="00C91E2B"/>
    <w:rsid w:val="00C95E16"/>
    <w:rsid w:val="00C95E74"/>
    <w:rsid w:val="00C964D5"/>
    <w:rsid w:val="00C97017"/>
    <w:rsid w:val="00CA02F5"/>
    <w:rsid w:val="00CA19A3"/>
    <w:rsid w:val="00CA2009"/>
    <w:rsid w:val="00CA2709"/>
    <w:rsid w:val="00CA2D44"/>
    <w:rsid w:val="00CA3B94"/>
    <w:rsid w:val="00CA3F65"/>
    <w:rsid w:val="00CA4909"/>
    <w:rsid w:val="00CA5183"/>
    <w:rsid w:val="00CA52D0"/>
    <w:rsid w:val="00CA59AA"/>
    <w:rsid w:val="00CB13E6"/>
    <w:rsid w:val="00CB3671"/>
    <w:rsid w:val="00CB39A2"/>
    <w:rsid w:val="00CB3D83"/>
    <w:rsid w:val="00CB4A6A"/>
    <w:rsid w:val="00CB4C99"/>
    <w:rsid w:val="00CB6492"/>
    <w:rsid w:val="00CB6A8E"/>
    <w:rsid w:val="00CB6FF0"/>
    <w:rsid w:val="00CB7212"/>
    <w:rsid w:val="00CB77BF"/>
    <w:rsid w:val="00CB780D"/>
    <w:rsid w:val="00CC22BE"/>
    <w:rsid w:val="00CC2B0C"/>
    <w:rsid w:val="00CC2E19"/>
    <w:rsid w:val="00CC3603"/>
    <w:rsid w:val="00CC45F3"/>
    <w:rsid w:val="00CD127C"/>
    <w:rsid w:val="00CD13D7"/>
    <w:rsid w:val="00CD1A4B"/>
    <w:rsid w:val="00CD2032"/>
    <w:rsid w:val="00CD34D2"/>
    <w:rsid w:val="00CD52B9"/>
    <w:rsid w:val="00CD54D4"/>
    <w:rsid w:val="00CD5A87"/>
    <w:rsid w:val="00CD6048"/>
    <w:rsid w:val="00CD61DA"/>
    <w:rsid w:val="00CD658A"/>
    <w:rsid w:val="00CD7193"/>
    <w:rsid w:val="00CE0278"/>
    <w:rsid w:val="00CE16ED"/>
    <w:rsid w:val="00CE3C88"/>
    <w:rsid w:val="00CE6EF2"/>
    <w:rsid w:val="00CF1D67"/>
    <w:rsid w:val="00CF255F"/>
    <w:rsid w:val="00CF3D05"/>
    <w:rsid w:val="00CF4B47"/>
    <w:rsid w:val="00CF6912"/>
    <w:rsid w:val="00D01DC2"/>
    <w:rsid w:val="00D02FA5"/>
    <w:rsid w:val="00D03766"/>
    <w:rsid w:val="00D11758"/>
    <w:rsid w:val="00D118EC"/>
    <w:rsid w:val="00D12BA5"/>
    <w:rsid w:val="00D14F1D"/>
    <w:rsid w:val="00D14FBB"/>
    <w:rsid w:val="00D17B3E"/>
    <w:rsid w:val="00D200A8"/>
    <w:rsid w:val="00D20492"/>
    <w:rsid w:val="00D207FC"/>
    <w:rsid w:val="00D2238A"/>
    <w:rsid w:val="00D2323F"/>
    <w:rsid w:val="00D23CDB"/>
    <w:rsid w:val="00D30A4D"/>
    <w:rsid w:val="00D30C93"/>
    <w:rsid w:val="00D315B5"/>
    <w:rsid w:val="00D323CD"/>
    <w:rsid w:val="00D32977"/>
    <w:rsid w:val="00D32DFB"/>
    <w:rsid w:val="00D33126"/>
    <w:rsid w:val="00D33BD9"/>
    <w:rsid w:val="00D3571B"/>
    <w:rsid w:val="00D358EC"/>
    <w:rsid w:val="00D35DEF"/>
    <w:rsid w:val="00D417D5"/>
    <w:rsid w:val="00D42FB3"/>
    <w:rsid w:val="00D43275"/>
    <w:rsid w:val="00D447F6"/>
    <w:rsid w:val="00D4498F"/>
    <w:rsid w:val="00D44CF6"/>
    <w:rsid w:val="00D4636D"/>
    <w:rsid w:val="00D46398"/>
    <w:rsid w:val="00D50BC4"/>
    <w:rsid w:val="00D5238D"/>
    <w:rsid w:val="00D52A4A"/>
    <w:rsid w:val="00D571D5"/>
    <w:rsid w:val="00D576D4"/>
    <w:rsid w:val="00D6038B"/>
    <w:rsid w:val="00D61912"/>
    <w:rsid w:val="00D61BC0"/>
    <w:rsid w:val="00D62948"/>
    <w:rsid w:val="00D62C35"/>
    <w:rsid w:val="00D63B27"/>
    <w:rsid w:val="00D66AF2"/>
    <w:rsid w:val="00D67195"/>
    <w:rsid w:val="00D71BEB"/>
    <w:rsid w:val="00D72E1B"/>
    <w:rsid w:val="00D7340F"/>
    <w:rsid w:val="00D737A7"/>
    <w:rsid w:val="00D740F9"/>
    <w:rsid w:val="00D75599"/>
    <w:rsid w:val="00D8001F"/>
    <w:rsid w:val="00D80465"/>
    <w:rsid w:val="00D80559"/>
    <w:rsid w:val="00D8072C"/>
    <w:rsid w:val="00D8095B"/>
    <w:rsid w:val="00D81AAC"/>
    <w:rsid w:val="00D824E7"/>
    <w:rsid w:val="00D83EDA"/>
    <w:rsid w:val="00D8505F"/>
    <w:rsid w:val="00D8554F"/>
    <w:rsid w:val="00D85E50"/>
    <w:rsid w:val="00D863E0"/>
    <w:rsid w:val="00D866E0"/>
    <w:rsid w:val="00D867B1"/>
    <w:rsid w:val="00D86CB2"/>
    <w:rsid w:val="00D86F4E"/>
    <w:rsid w:val="00D910B0"/>
    <w:rsid w:val="00D91433"/>
    <w:rsid w:val="00D93340"/>
    <w:rsid w:val="00D934A7"/>
    <w:rsid w:val="00D94448"/>
    <w:rsid w:val="00D96EA9"/>
    <w:rsid w:val="00D97220"/>
    <w:rsid w:val="00DA03AE"/>
    <w:rsid w:val="00DA1207"/>
    <w:rsid w:val="00DA24A5"/>
    <w:rsid w:val="00DA2E1A"/>
    <w:rsid w:val="00DA3D1A"/>
    <w:rsid w:val="00DA4115"/>
    <w:rsid w:val="00DA4F86"/>
    <w:rsid w:val="00DA6A25"/>
    <w:rsid w:val="00DA6C9B"/>
    <w:rsid w:val="00DA74EB"/>
    <w:rsid w:val="00DB052A"/>
    <w:rsid w:val="00DB09C5"/>
    <w:rsid w:val="00DB2527"/>
    <w:rsid w:val="00DB2B0A"/>
    <w:rsid w:val="00DB46AC"/>
    <w:rsid w:val="00DB4A28"/>
    <w:rsid w:val="00DB5F42"/>
    <w:rsid w:val="00DC086C"/>
    <w:rsid w:val="00DC46F6"/>
    <w:rsid w:val="00DC60C5"/>
    <w:rsid w:val="00DC6DC1"/>
    <w:rsid w:val="00DC72AB"/>
    <w:rsid w:val="00DD024A"/>
    <w:rsid w:val="00DD14FB"/>
    <w:rsid w:val="00DD2FAA"/>
    <w:rsid w:val="00DD3701"/>
    <w:rsid w:val="00DD413B"/>
    <w:rsid w:val="00DD5720"/>
    <w:rsid w:val="00DD679A"/>
    <w:rsid w:val="00DE01C1"/>
    <w:rsid w:val="00DE2E28"/>
    <w:rsid w:val="00DE4C62"/>
    <w:rsid w:val="00DE5974"/>
    <w:rsid w:val="00DF0573"/>
    <w:rsid w:val="00DF0679"/>
    <w:rsid w:val="00DF28E3"/>
    <w:rsid w:val="00DF4574"/>
    <w:rsid w:val="00DF4741"/>
    <w:rsid w:val="00DF47F3"/>
    <w:rsid w:val="00DF4C05"/>
    <w:rsid w:val="00DF60AA"/>
    <w:rsid w:val="00DF7BC4"/>
    <w:rsid w:val="00E01327"/>
    <w:rsid w:val="00E019EA"/>
    <w:rsid w:val="00E02E30"/>
    <w:rsid w:val="00E061BB"/>
    <w:rsid w:val="00E10C21"/>
    <w:rsid w:val="00E1117B"/>
    <w:rsid w:val="00E12435"/>
    <w:rsid w:val="00E140DA"/>
    <w:rsid w:val="00E14F47"/>
    <w:rsid w:val="00E16C8B"/>
    <w:rsid w:val="00E203EC"/>
    <w:rsid w:val="00E22B2A"/>
    <w:rsid w:val="00E22DA1"/>
    <w:rsid w:val="00E25F32"/>
    <w:rsid w:val="00E33261"/>
    <w:rsid w:val="00E33A26"/>
    <w:rsid w:val="00E35B5D"/>
    <w:rsid w:val="00E363C9"/>
    <w:rsid w:val="00E36AC0"/>
    <w:rsid w:val="00E36F42"/>
    <w:rsid w:val="00E37E21"/>
    <w:rsid w:val="00E4157C"/>
    <w:rsid w:val="00E43BBB"/>
    <w:rsid w:val="00E44B0C"/>
    <w:rsid w:val="00E46E17"/>
    <w:rsid w:val="00E471B4"/>
    <w:rsid w:val="00E5280E"/>
    <w:rsid w:val="00E56E43"/>
    <w:rsid w:val="00E57AC5"/>
    <w:rsid w:val="00E57EBE"/>
    <w:rsid w:val="00E60E28"/>
    <w:rsid w:val="00E61000"/>
    <w:rsid w:val="00E62215"/>
    <w:rsid w:val="00E64378"/>
    <w:rsid w:val="00E644EB"/>
    <w:rsid w:val="00E6561E"/>
    <w:rsid w:val="00E65704"/>
    <w:rsid w:val="00E659FA"/>
    <w:rsid w:val="00E70C0D"/>
    <w:rsid w:val="00E725C8"/>
    <w:rsid w:val="00E72D36"/>
    <w:rsid w:val="00E744E6"/>
    <w:rsid w:val="00E752FC"/>
    <w:rsid w:val="00E77066"/>
    <w:rsid w:val="00E770E2"/>
    <w:rsid w:val="00E7799E"/>
    <w:rsid w:val="00E77BD3"/>
    <w:rsid w:val="00E80C0D"/>
    <w:rsid w:val="00E82694"/>
    <w:rsid w:val="00E828F8"/>
    <w:rsid w:val="00E86743"/>
    <w:rsid w:val="00E87421"/>
    <w:rsid w:val="00E87ACF"/>
    <w:rsid w:val="00E901CB"/>
    <w:rsid w:val="00E90A15"/>
    <w:rsid w:val="00E932DC"/>
    <w:rsid w:val="00E93A34"/>
    <w:rsid w:val="00E941C6"/>
    <w:rsid w:val="00E954EB"/>
    <w:rsid w:val="00E960BE"/>
    <w:rsid w:val="00E962C3"/>
    <w:rsid w:val="00EA18F9"/>
    <w:rsid w:val="00EA1928"/>
    <w:rsid w:val="00EA1E82"/>
    <w:rsid w:val="00EA1F1A"/>
    <w:rsid w:val="00EA3D0E"/>
    <w:rsid w:val="00EA42E6"/>
    <w:rsid w:val="00EA4DE3"/>
    <w:rsid w:val="00EA5AE1"/>
    <w:rsid w:val="00EB07B2"/>
    <w:rsid w:val="00EB3D39"/>
    <w:rsid w:val="00EB55C9"/>
    <w:rsid w:val="00EB55D9"/>
    <w:rsid w:val="00EB56A9"/>
    <w:rsid w:val="00EB6154"/>
    <w:rsid w:val="00EB776F"/>
    <w:rsid w:val="00EC0910"/>
    <w:rsid w:val="00EC0921"/>
    <w:rsid w:val="00EC1F51"/>
    <w:rsid w:val="00EC3122"/>
    <w:rsid w:val="00EC3705"/>
    <w:rsid w:val="00EC5E5D"/>
    <w:rsid w:val="00ED123D"/>
    <w:rsid w:val="00ED271F"/>
    <w:rsid w:val="00ED2D85"/>
    <w:rsid w:val="00ED3621"/>
    <w:rsid w:val="00ED3908"/>
    <w:rsid w:val="00ED705B"/>
    <w:rsid w:val="00ED70EB"/>
    <w:rsid w:val="00EE1A75"/>
    <w:rsid w:val="00EE3078"/>
    <w:rsid w:val="00EE349A"/>
    <w:rsid w:val="00EE3A18"/>
    <w:rsid w:val="00EE3C61"/>
    <w:rsid w:val="00EE5219"/>
    <w:rsid w:val="00EE5EE6"/>
    <w:rsid w:val="00EE6694"/>
    <w:rsid w:val="00EE6EF1"/>
    <w:rsid w:val="00EE78B6"/>
    <w:rsid w:val="00EF19EE"/>
    <w:rsid w:val="00EF21D8"/>
    <w:rsid w:val="00EF25C5"/>
    <w:rsid w:val="00EF2E66"/>
    <w:rsid w:val="00EF39CA"/>
    <w:rsid w:val="00EF3FAB"/>
    <w:rsid w:val="00EF3FEF"/>
    <w:rsid w:val="00EF67C5"/>
    <w:rsid w:val="00F013C0"/>
    <w:rsid w:val="00F024F1"/>
    <w:rsid w:val="00F02B8E"/>
    <w:rsid w:val="00F06133"/>
    <w:rsid w:val="00F067E3"/>
    <w:rsid w:val="00F06A9B"/>
    <w:rsid w:val="00F121A6"/>
    <w:rsid w:val="00F12731"/>
    <w:rsid w:val="00F136BF"/>
    <w:rsid w:val="00F13ADF"/>
    <w:rsid w:val="00F15988"/>
    <w:rsid w:val="00F16117"/>
    <w:rsid w:val="00F20508"/>
    <w:rsid w:val="00F2228D"/>
    <w:rsid w:val="00F226FB"/>
    <w:rsid w:val="00F23FDB"/>
    <w:rsid w:val="00F24A55"/>
    <w:rsid w:val="00F24C0C"/>
    <w:rsid w:val="00F24C54"/>
    <w:rsid w:val="00F25874"/>
    <w:rsid w:val="00F26DAF"/>
    <w:rsid w:val="00F27DD3"/>
    <w:rsid w:val="00F3032D"/>
    <w:rsid w:val="00F30381"/>
    <w:rsid w:val="00F30C15"/>
    <w:rsid w:val="00F3191C"/>
    <w:rsid w:val="00F31EAB"/>
    <w:rsid w:val="00F32740"/>
    <w:rsid w:val="00F32D4C"/>
    <w:rsid w:val="00F340AC"/>
    <w:rsid w:val="00F34435"/>
    <w:rsid w:val="00F34D3A"/>
    <w:rsid w:val="00F37071"/>
    <w:rsid w:val="00F37917"/>
    <w:rsid w:val="00F37E59"/>
    <w:rsid w:val="00F405DB"/>
    <w:rsid w:val="00F4078B"/>
    <w:rsid w:val="00F40886"/>
    <w:rsid w:val="00F410A7"/>
    <w:rsid w:val="00F425BB"/>
    <w:rsid w:val="00F42BFF"/>
    <w:rsid w:val="00F43244"/>
    <w:rsid w:val="00F46C47"/>
    <w:rsid w:val="00F47AA3"/>
    <w:rsid w:val="00F51680"/>
    <w:rsid w:val="00F53288"/>
    <w:rsid w:val="00F533CA"/>
    <w:rsid w:val="00F552DE"/>
    <w:rsid w:val="00F568BD"/>
    <w:rsid w:val="00F6037A"/>
    <w:rsid w:val="00F603DB"/>
    <w:rsid w:val="00F617C5"/>
    <w:rsid w:val="00F64146"/>
    <w:rsid w:val="00F64592"/>
    <w:rsid w:val="00F6501E"/>
    <w:rsid w:val="00F657AD"/>
    <w:rsid w:val="00F70835"/>
    <w:rsid w:val="00F70B3E"/>
    <w:rsid w:val="00F70B6D"/>
    <w:rsid w:val="00F7288B"/>
    <w:rsid w:val="00F76A20"/>
    <w:rsid w:val="00F77038"/>
    <w:rsid w:val="00F8061A"/>
    <w:rsid w:val="00F81965"/>
    <w:rsid w:val="00F821F1"/>
    <w:rsid w:val="00F82E3D"/>
    <w:rsid w:val="00F83627"/>
    <w:rsid w:val="00F841F3"/>
    <w:rsid w:val="00F86E37"/>
    <w:rsid w:val="00F87258"/>
    <w:rsid w:val="00F90F82"/>
    <w:rsid w:val="00F9178E"/>
    <w:rsid w:val="00F94F2F"/>
    <w:rsid w:val="00F95346"/>
    <w:rsid w:val="00F95481"/>
    <w:rsid w:val="00F97601"/>
    <w:rsid w:val="00F97AC5"/>
    <w:rsid w:val="00FA26B1"/>
    <w:rsid w:val="00FA642E"/>
    <w:rsid w:val="00FB0277"/>
    <w:rsid w:val="00FB07C9"/>
    <w:rsid w:val="00FB12C5"/>
    <w:rsid w:val="00FB2179"/>
    <w:rsid w:val="00FB21B5"/>
    <w:rsid w:val="00FB21E9"/>
    <w:rsid w:val="00FB2BA1"/>
    <w:rsid w:val="00FB5783"/>
    <w:rsid w:val="00FC0100"/>
    <w:rsid w:val="00FC04B0"/>
    <w:rsid w:val="00FC04F1"/>
    <w:rsid w:val="00FC0BDF"/>
    <w:rsid w:val="00FC16E4"/>
    <w:rsid w:val="00FC174D"/>
    <w:rsid w:val="00FC237E"/>
    <w:rsid w:val="00FC2B45"/>
    <w:rsid w:val="00FC2FC0"/>
    <w:rsid w:val="00FC40D6"/>
    <w:rsid w:val="00FC6F7B"/>
    <w:rsid w:val="00FD0987"/>
    <w:rsid w:val="00FD0E13"/>
    <w:rsid w:val="00FD2228"/>
    <w:rsid w:val="00FD3340"/>
    <w:rsid w:val="00FD34D3"/>
    <w:rsid w:val="00FD39BD"/>
    <w:rsid w:val="00FD4127"/>
    <w:rsid w:val="00FD448C"/>
    <w:rsid w:val="00FD6F0A"/>
    <w:rsid w:val="00FD7524"/>
    <w:rsid w:val="00FE0444"/>
    <w:rsid w:val="00FE2AC4"/>
    <w:rsid w:val="00FF3768"/>
    <w:rsid w:val="00FF654E"/>
    <w:rsid w:val="01D7878E"/>
    <w:rsid w:val="0BA622AD"/>
    <w:rsid w:val="0DB14061"/>
    <w:rsid w:val="0EE3B7BC"/>
    <w:rsid w:val="10218A00"/>
    <w:rsid w:val="1393A4A3"/>
    <w:rsid w:val="14A4F5D4"/>
    <w:rsid w:val="16D99CE1"/>
    <w:rsid w:val="19DDAF4D"/>
    <w:rsid w:val="1F3BE16D"/>
    <w:rsid w:val="2172229C"/>
    <w:rsid w:val="25C4142D"/>
    <w:rsid w:val="275486DE"/>
    <w:rsid w:val="2B1728C3"/>
    <w:rsid w:val="2BCCBBD0"/>
    <w:rsid w:val="2DC66906"/>
    <w:rsid w:val="2FEA99E6"/>
    <w:rsid w:val="30F877AB"/>
    <w:rsid w:val="333EDC94"/>
    <w:rsid w:val="33B318F2"/>
    <w:rsid w:val="354EE953"/>
    <w:rsid w:val="3B353A13"/>
    <w:rsid w:val="3C5C552C"/>
    <w:rsid w:val="3D59FB38"/>
    <w:rsid w:val="3E6CDAD5"/>
    <w:rsid w:val="3E735F67"/>
    <w:rsid w:val="404440B2"/>
    <w:rsid w:val="424AE8FC"/>
    <w:rsid w:val="42A78028"/>
    <w:rsid w:val="44435089"/>
    <w:rsid w:val="454BDEA8"/>
    <w:rsid w:val="47F4A071"/>
    <w:rsid w:val="4CC7B207"/>
    <w:rsid w:val="4F10BAA8"/>
    <w:rsid w:val="50B30FF5"/>
    <w:rsid w:val="54B9FB1C"/>
    <w:rsid w:val="55741BAB"/>
    <w:rsid w:val="560010A2"/>
    <w:rsid w:val="56D8908F"/>
    <w:rsid w:val="5AA8882C"/>
    <w:rsid w:val="5B386EA3"/>
    <w:rsid w:val="5B39FCDF"/>
    <w:rsid w:val="5C66A706"/>
    <w:rsid w:val="5C6C73BE"/>
    <w:rsid w:val="5CA17E38"/>
    <w:rsid w:val="5D166065"/>
    <w:rsid w:val="5E97926F"/>
    <w:rsid w:val="5EC25313"/>
    <w:rsid w:val="65C9D626"/>
    <w:rsid w:val="6673DCCD"/>
    <w:rsid w:val="67040BFE"/>
    <w:rsid w:val="68791669"/>
    <w:rsid w:val="69E4C10B"/>
    <w:rsid w:val="6A0E6238"/>
    <w:rsid w:val="6CB8A148"/>
    <w:rsid w:val="6CE7273F"/>
    <w:rsid w:val="6D4D77C6"/>
    <w:rsid w:val="6F73FC98"/>
    <w:rsid w:val="746A3239"/>
    <w:rsid w:val="78ABEFC3"/>
    <w:rsid w:val="7BAE75F8"/>
    <w:rsid w:val="7C9D7A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toc 1" w:uiPriority="39"/>
    <w:lsdException w:name="toc 2" w:uiPriority="39"/>
    <w:lsdException w:name="toc 3" w:uiPriority="39"/>
    <w:lsdException w:name="toc 4" w:uiPriority="39"/>
    <w:lsdException w:name="footnote text" w:qFormat="1"/>
    <w:lsdException w:name="footer" w:uiPriority="99"/>
    <w:lsdException w:name="footnote reference" w:qFormat="1"/>
    <w:lsdException w:name="Body Text"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316"/>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link w:val="Heading2Char"/>
    <w:qFormat/>
    <w:rsid w:val="00E33A26"/>
    <w:pPr>
      <w:numPr>
        <w:numId w:val="3"/>
      </w:numPr>
      <w:outlineLvl w:val="1"/>
    </w:p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BB22C4"/>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uiPriority w:val="39"/>
    <w:pPr>
      <w:spacing w:before="240"/>
    </w:pPr>
    <w:rPr>
      <w:rFonts w:ascii="Times New Roman" w:hAnsi="Times New Roman" w:cs="Times New Roman"/>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uiPriority w:val="39"/>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link w:val="FootnoteText"/>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852677"/>
    <w:rPr>
      <w:sz w:val="16"/>
      <w:szCs w:val="16"/>
    </w:rPr>
  </w:style>
  <w:style w:type="paragraph" w:styleId="CommentText">
    <w:name w:val="annotation text"/>
    <w:basedOn w:val="Normal"/>
    <w:link w:val="CommentTextChar"/>
    <w:rsid w:val="00852677"/>
    <w:pPr>
      <w:spacing w:line="240" w:lineRule="auto"/>
    </w:pPr>
    <w:rPr>
      <w:sz w:val="20"/>
      <w:szCs w:val="20"/>
    </w:rPr>
  </w:style>
  <w:style w:type="character" w:customStyle="1" w:styleId="CommentTextChar">
    <w:name w:val="Comment Text Char"/>
    <w:basedOn w:val="DefaultParagraphFont"/>
    <w:link w:val="CommentText"/>
    <w:rsid w:val="00852677"/>
  </w:style>
  <w:style w:type="paragraph" w:styleId="CommentSubject">
    <w:name w:val="annotation subject"/>
    <w:basedOn w:val="CommentText"/>
    <w:next w:val="CommentText"/>
    <w:link w:val="CommentSubjectChar"/>
    <w:rsid w:val="00852677"/>
    <w:rPr>
      <w:b/>
      <w:bCs/>
    </w:rPr>
  </w:style>
  <w:style w:type="character" w:customStyle="1" w:styleId="CommentSubjectChar">
    <w:name w:val="Comment Subject Char"/>
    <w:basedOn w:val="CommentTextChar"/>
    <w:link w:val="CommentSubject"/>
    <w:rsid w:val="00852677"/>
    <w:rPr>
      <w:b/>
      <w:bCs/>
    </w:rPr>
  </w:style>
  <w:style w:type="table" w:customStyle="1" w:styleId="TableGrid1">
    <w:name w:val="Table Grid1"/>
    <w:basedOn w:val="TableNormal"/>
    <w:next w:val="TableGrid"/>
    <w:rsid w:val="00BF5A70"/>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76431F"/>
    <w:pPr>
      <w:keepNext w:val="0"/>
      <w:spacing w:after="0"/>
      <w:ind w:firstLine="0"/>
      <w:jc w:val="left"/>
      <w:outlineLvl w:val="9"/>
    </w:pPr>
    <w:rPr>
      <w:rFonts w:eastAsiaTheme="minorHAnsi" w:cstheme="minorBidi"/>
      <w:szCs w:val="22"/>
    </w:rPr>
  </w:style>
  <w:style w:type="paragraph" w:styleId="TOCHeading">
    <w:name w:val="TOC Heading"/>
    <w:basedOn w:val="Heading1"/>
    <w:next w:val="Normal"/>
    <w:uiPriority w:val="39"/>
    <w:unhideWhenUsed/>
    <w:qFormat/>
    <w:rsid w:val="00674B70"/>
    <w:pPr>
      <w:keepLines/>
      <w:spacing w:before="240" w:after="0" w:line="259" w:lineRule="auto"/>
      <w:ind w:left="0" w:firstLine="0"/>
      <w:jc w:val="left"/>
      <w:outlineLvl w:val="9"/>
    </w:pPr>
    <w:rPr>
      <w:rFonts w:asciiTheme="majorHAnsi" w:eastAsiaTheme="majorEastAsia" w:hAnsiTheme="majorHAnsi" w:cstheme="majorBidi"/>
      <w:b w:val="0"/>
      <w:caps w:val="0"/>
      <w:color w:val="2F5496" w:themeColor="accent1" w:themeShade="BF"/>
      <w:sz w:val="32"/>
      <w:szCs w:val="32"/>
    </w:rPr>
  </w:style>
  <w:style w:type="paragraph" w:customStyle="1" w:styleId="BriefHeading2">
    <w:name w:val="Brief Heading 2"/>
    <w:basedOn w:val="ListParagraph"/>
    <w:link w:val="BriefHeading2Char"/>
    <w:rsid w:val="00674B70"/>
    <w:pPr>
      <w:numPr>
        <w:numId w:val="1"/>
      </w:numPr>
      <w:ind w:left="720" w:hanging="720"/>
      <w:jc w:val="both"/>
    </w:pPr>
    <w:rPr>
      <w:rFonts w:cs="Times New Roman"/>
      <w:b/>
      <w:szCs w:val="24"/>
    </w:rPr>
  </w:style>
  <w:style w:type="paragraph" w:customStyle="1" w:styleId="Style1">
    <w:name w:val="Style1"/>
    <w:basedOn w:val="Documentheading"/>
    <w:rsid w:val="00B57085"/>
  </w:style>
  <w:style w:type="character" w:customStyle="1" w:styleId="ListParagraphChar">
    <w:name w:val="List Paragraph Char"/>
    <w:basedOn w:val="DefaultParagraphFont"/>
    <w:link w:val="ListParagraph"/>
    <w:uiPriority w:val="34"/>
    <w:rsid w:val="0076431F"/>
    <w:rPr>
      <w:rFonts w:eastAsiaTheme="minorHAnsi" w:cstheme="minorBidi"/>
      <w:sz w:val="24"/>
      <w:szCs w:val="22"/>
    </w:rPr>
  </w:style>
  <w:style w:type="character" w:customStyle="1" w:styleId="BriefHeading2Char">
    <w:name w:val="Brief Heading 2 Char"/>
    <w:basedOn w:val="ListParagraphChar"/>
    <w:link w:val="BriefHeading2"/>
    <w:rsid w:val="00674B70"/>
    <w:rPr>
      <w:rFonts w:eastAsiaTheme="minorHAnsi" w:cstheme="minorBidi"/>
      <w:b/>
      <w:sz w:val="24"/>
      <w:szCs w:val="24"/>
    </w:rPr>
  </w:style>
  <w:style w:type="character" w:customStyle="1" w:styleId="FooterChar">
    <w:name w:val="Footer Char"/>
    <w:basedOn w:val="DefaultParagraphFont"/>
    <w:link w:val="Footer"/>
    <w:uiPriority w:val="99"/>
    <w:rsid w:val="00061134"/>
    <w:rPr>
      <w:sz w:val="16"/>
      <w:szCs w:val="24"/>
    </w:rPr>
  </w:style>
  <w:style w:type="paragraph" w:styleId="Revision">
    <w:name w:val="Revision"/>
    <w:hidden/>
    <w:uiPriority w:val="99"/>
    <w:semiHidden/>
    <w:rsid w:val="003F1294"/>
    <w:rPr>
      <w:sz w:val="24"/>
      <w:szCs w:val="24"/>
    </w:rPr>
  </w:style>
  <w:style w:type="paragraph" w:styleId="BodyText">
    <w:name w:val="Body Text"/>
    <w:basedOn w:val="Normal"/>
    <w:link w:val="BodyTextChar"/>
    <w:qFormat/>
    <w:rsid w:val="00AA167A"/>
    <w:pPr>
      <w:keepNext w:val="0"/>
      <w:spacing w:after="240" w:line="240" w:lineRule="auto"/>
      <w:ind w:firstLine="0"/>
      <w:outlineLvl w:val="9"/>
    </w:pPr>
    <w:rPr>
      <w:rFonts w:eastAsiaTheme="minorHAnsi" w:cstheme="minorBidi"/>
    </w:rPr>
  </w:style>
  <w:style w:type="character" w:customStyle="1" w:styleId="BodyTextChar">
    <w:name w:val="Body Text Char"/>
    <w:basedOn w:val="DefaultParagraphFont"/>
    <w:link w:val="BodyText"/>
    <w:rsid w:val="00AA167A"/>
    <w:rPr>
      <w:rFonts w:eastAsiaTheme="minorHAnsi" w:cstheme="minorBidi"/>
      <w:sz w:val="24"/>
      <w:szCs w:val="24"/>
    </w:rPr>
  </w:style>
  <w:style w:type="character" w:customStyle="1" w:styleId="Heading2Char">
    <w:name w:val="Heading 2 Char"/>
    <w:aliases w:val="Section Heading Char"/>
    <w:basedOn w:val="DefaultParagraphFont"/>
    <w:link w:val="Heading2"/>
    <w:rsid w:val="00E33A26"/>
    <w:rPr>
      <w:sz w:val="24"/>
      <w:szCs w:val="24"/>
    </w:rPr>
  </w:style>
  <w:style w:type="paragraph" w:styleId="NoSpacing">
    <w:name w:val="No Spacing"/>
    <w:uiPriority w:val="1"/>
    <w:qFormat/>
    <w:rsid w:val="00C10A25"/>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CA19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376471">
      <w:bodyDiv w:val="1"/>
      <w:marLeft w:val="0"/>
      <w:marRight w:val="0"/>
      <w:marTop w:val="0"/>
      <w:marBottom w:val="0"/>
      <w:divBdr>
        <w:top w:val="none" w:sz="0" w:space="0" w:color="auto"/>
        <w:left w:val="none" w:sz="0" w:space="0" w:color="auto"/>
        <w:bottom w:val="none" w:sz="0" w:space="0" w:color="auto"/>
        <w:right w:val="none" w:sz="0" w:space="0" w:color="auto"/>
      </w:divBdr>
    </w:div>
    <w:div w:id="418528988">
      <w:bodyDiv w:val="1"/>
      <w:marLeft w:val="0"/>
      <w:marRight w:val="0"/>
      <w:marTop w:val="0"/>
      <w:marBottom w:val="0"/>
      <w:divBdr>
        <w:top w:val="none" w:sz="0" w:space="0" w:color="auto"/>
        <w:left w:val="none" w:sz="0" w:space="0" w:color="auto"/>
        <w:bottom w:val="none" w:sz="0" w:space="0" w:color="auto"/>
        <w:right w:val="none" w:sz="0" w:space="0" w:color="auto"/>
      </w:divBdr>
    </w:div>
    <w:div w:id="712777391">
      <w:bodyDiv w:val="1"/>
      <w:marLeft w:val="0"/>
      <w:marRight w:val="0"/>
      <w:marTop w:val="0"/>
      <w:marBottom w:val="0"/>
      <w:divBdr>
        <w:top w:val="none" w:sz="0" w:space="0" w:color="auto"/>
        <w:left w:val="none" w:sz="0" w:space="0" w:color="auto"/>
        <w:bottom w:val="none" w:sz="0" w:space="0" w:color="auto"/>
        <w:right w:val="none" w:sz="0" w:space="0" w:color="auto"/>
      </w:divBdr>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4945857">
      <w:bodyDiv w:val="1"/>
      <w:marLeft w:val="0"/>
      <w:marRight w:val="0"/>
      <w:marTop w:val="0"/>
      <w:marBottom w:val="0"/>
      <w:divBdr>
        <w:top w:val="none" w:sz="0" w:space="0" w:color="auto"/>
        <w:left w:val="none" w:sz="0" w:space="0" w:color="auto"/>
        <w:bottom w:val="none" w:sz="0" w:space="0" w:color="auto"/>
        <w:right w:val="none" w:sz="0" w:space="0" w:color="auto"/>
      </w:divBdr>
    </w:div>
    <w:div w:id="1368457321">
      <w:bodyDiv w:val="1"/>
      <w:marLeft w:val="0"/>
      <w:marRight w:val="0"/>
      <w:marTop w:val="0"/>
      <w:marBottom w:val="0"/>
      <w:divBdr>
        <w:top w:val="none" w:sz="0" w:space="0" w:color="auto"/>
        <w:left w:val="none" w:sz="0" w:space="0" w:color="auto"/>
        <w:bottom w:val="none" w:sz="0" w:space="0" w:color="auto"/>
        <w:right w:val="none" w:sz="0" w:space="0" w:color="auto"/>
      </w:divBdr>
    </w:div>
    <w:div w:id="1636905698">
      <w:bodyDiv w:val="1"/>
      <w:marLeft w:val="0"/>
      <w:marRight w:val="0"/>
      <w:marTop w:val="0"/>
      <w:marBottom w:val="0"/>
      <w:divBdr>
        <w:top w:val="none" w:sz="0" w:space="0" w:color="auto"/>
        <w:left w:val="none" w:sz="0" w:space="0" w:color="auto"/>
        <w:bottom w:val="none" w:sz="0" w:space="0" w:color="auto"/>
        <w:right w:val="none" w:sz="0" w:space="0" w:color="auto"/>
      </w:divBdr>
    </w:div>
    <w:div w:id="194603833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C64F916332426391CC826D58BAAF2D"/>
        <w:category>
          <w:name w:val="General"/>
          <w:gallery w:val="placeholder"/>
        </w:category>
        <w:types>
          <w:type w:val="bbPlcHdr"/>
        </w:types>
        <w:behaviors>
          <w:behavior w:val="content"/>
        </w:behaviors>
        <w:guid w:val="{4995D166-9ED5-4BCE-AA7F-CCAC776C74F3}"/>
      </w:docPartPr>
      <w:docPartBody>
        <w:p w:rsidR="004019C6" w:rsidRDefault="004019C6" w:rsidP="004019C6">
          <w:pPr>
            <w:pStyle w:val="C2C64F916332426391CC826D58BAAF2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1E7"/>
    <w:rsid w:val="00003FEA"/>
    <w:rsid w:val="00185E90"/>
    <w:rsid w:val="001C2C6F"/>
    <w:rsid w:val="00260416"/>
    <w:rsid w:val="004019C6"/>
    <w:rsid w:val="00502E06"/>
    <w:rsid w:val="007275E0"/>
    <w:rsid w:val="00941AF3"/>
    <w:rsid w:val="00B831E7"/>
    <w:rsid w:val="00CD127C"/>
    <w:rsid w:val="00DA289D"/>
    <w:rsid w:val="00DA35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19C6"/>
  </w:style>
  <w:style w:type="paragraph" w:customStyle="1" w:styleId="C2C64F916332426391CC826D58BAAF2D">
    <w:name w:val="C2C64F916332426391CC826D58BAAF2D"/>
    <w:rsid w:val="00401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5153</Words>
  <Characters>28455</Characters>
  <Application>Microsoft Office Word</Application>
  <DocSecurity>0</DocSecurity>
  <Lines>237</Lines>
  <Paragraphs>67</Paragraphs>
  <ScaleCrop>false</ScaleCrop>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2024-08-01T19:30:00Z</dcterms:created>
  <dcterms:modified xsi:type="dcterms:W3CDTF">2024-08-01T19:30:00Z</dcterms:modified>
</cp:coreProperties>
</file>